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C435634" w14:textId="087AC3F8" w:rsidR="00D008DE" w:rsidRDefault="00320825" w:rsidP="004872B8">
      <w:pPr>
        <w:pStyle w:val="Heading1"/>
        <w:spacing w:line="276" w:lineRule="auto"/>
        <w:rPr>
          <w:sz w:val="36"/>
          <w:szCs w:val="36"/>
        </w:rPr>
      </w:pPr>
      <w:r>
        <w:rPr>
          <w:sz w:val="36"/>
          <w:szCs w:val="36"/>
        </w:rPr>
        <w:t>Guideline</w:t>
      </w:r>
      <w:r>
        <w:rPr>
          <w:sz w:val="36"/>
          <w:szCs w:val="36"/>
        </w:rPr>
        <w:t xml:space="preserve"> -</w:t>
      </w:r>
      <w:r w:rsidRPr="00E924A6">
        <w:rPr>
          <w:sz w:val="36"/>
          <w:szCs w:val="36"/>
        </w:rPr>
        <w:t xml:space="preserve"> </w:t>
      </w:r>
      <w:r w:rsidR="008C6F2E" w:rsidRPr="00E924A6">
        <w:rPr>
          <w:sz w:val="36"/>
          <w:szCs w:val="36"/>
        </w:rPr>
        <w:t xml:space="preserve">Request for secondary mobility bases and/or seating options </w:t>
      </w:r>
    </w:p>
    <w:p w14:paraId="0F260185" w14:textId="56E1F8AF" w:rsidR="001D19CB" w:rsidRPr="001D19CB" w:rsidRDefault="00850AC7" w:rsidP="001D19CB">
      <w:pPr>
        <w:spacing w:before="120"/>
        <w:rPr>
          <w:bCs/>
          <w:lang w:val="en-NZ"/>
        </w:rPr>
      </w:pPr>
      <w:bookmarkStart w:id="0" w:name="_GoBack"/>
      <w:bookmarkEnd w:id="0"/>
      <w:r>
        <w:rPr>
          <w:bCs/>
          <w:lang w:val="en-NZ"/>
        </w:rPr>
        <w:t>Useful information to consider when completing a Request for Advice - t</w:t>
      </w:r>
      <w:r w:rsidR="001D19CB" w:rsidRPr="001D19CB">
        <w:rPr>
          <w:bCs/>
          <w:lang w:val="en-NZ"/>
        </w:rPr>
        <w:t>his document relates to Ministry of Health</w:t>
      </w:r>
      <w:r w:rsidR="00A7009E">
        <w:rPr>
          <w:bCs/>
          <w:lang w:val="en-NZ"/>
        </w:rPr>
        <w:t xml:space="preserve"> (MOH)</w:t>
      </w:r>
      <w:r w:rsidR="001D19CB" w:rsidRPr="001D19CB">
        <w:rPr>
          <w:bCs/>
          <w:lang w:val="en-NZ"/>
        </w:rPr>
        <w:t xml:space="preserve"> funded solutions</w:t>
      </w:r>
    </w:p>
    <w:p w14:paraId="26125FED" w14:textId="77777777" w:rsidR="00771C10" w:rsidRDefault="00771C10" w:rsidP="007C6813">
      <w:pPr>
        <w:spacing w:before="120"/>
        <w:rPr>
          <w:lang w:val="en-NZ"/>
        </w:rPr>
      </w:pPr>
    </w:p>
    <w:p w14:paraId="3026A6F2" w14:textId="79116B39" w:rsidR="007C6813" w:rsidRPr="008C6F2E" w:rsidRDefault="001D19CB" w:rsidP="007C6813">
      <w:pPr>
        <w:spacing w:before="120"/>
        <w:rPr>
          <w:lang w:val="en-NZ"/>
        </w:rPr>
      </w:pPr>
      <w:r w:rsidRPr="001D19CB">
        <w:rPr>
          <w:lang w:val="en-NZ"/>
        </w:rPr>
        <w:t xml:space="preserve">It is anticipated that a Request for EMS Advice is submitted when a higher specification configurable second mobility base and/or seating solution is being sought. This is required in relation to Clarification of </w:t>
      </w:r>
      <w:r w:rsidR="00A7009E">
        <w:rPr>
          <w:lang w:val="en-NZ"/>
        </w:rPr>
        <w:t xml:space="preserve">the Ministry’s </w:t>
      </w:r>
      <w:r w:rsidRPr="001D19CB">
        <w:rPr>
          <w:lang w:val="en-NZ"/>
        </w:rPr>
        <w:t>Policy – where the EMS assessor is uncertain as to whether the person meets the Ministry of Health eligibility requirements or the specific EMS access criteria</w:t>
      </w:r>
      <w:r>
        <w:rPr>
          <w:lang w:val="en-NZ"/>
        </w:rPr>
        <w:t>.</w:t>
      </w:r>
    </w:p>
    <w:p w14:paraId="4129D871" w14:textId="2BB8BE17" w:rsidR="008C6F2E" w:rsidRPr="009F11B1" w:rsidRDefault="00320825" w:rsidP="009F11B1">
      <w:pPr>
        <w:spacing w:before="120"/>
        <w:rPr>
          <w:b/>
          <w:bCs/>
          <w:sz w:val="16"/>
          <w:szCs w:val="16"/>
          <w:lang w:val="en-NZ"/>
        </w:rPr>
      </w:pPr>
      <w:hyperlink r:id="rId11" w:history="1">
        <w:r w:rsidR="009F11B1" w:rsidRPr="009F11B1">
          <w:rPr>
            <w:rStyle w:val="Hyperlink"/>
            <w:b/>
            <w:bCs/>
            <w:sz w:val="16"/>
            <w:szCs w:val="16"/>
            <w:lang w:val="en-NZ"/>
          </w:rPr>
          <w:t>https://www.health.govt.nz/system/files/documents/pages/consultation-with-ems-advisor-v2-aug14.pdf</w:t>
        </w:r>
      </w:hyperlink>
    </w:p>
    <w:p w14:paraId="3631A404" w14:textId="296DEF77" w:rsidR="00BE1121" w:rsidRDefault="00BE1121" w:rsidP="0012751F">
      <w:pPr>
        <w:rPr>
          <w:i/>
          <w:lang w:val="en-NZ"/>
        </w:rPr>
      </w:pPr>
    </w:p>
    <w:p w14:paraId="27337916" w14:textId="77777777" w:rsidR="003D7DD7" w:rsidRDefault="009302EF" w:rsidP="00904DAE">
      <w:pPr>
        <w:rPr>
          <w:b/>
          <w:bCs/>
          <w:color w:val="808080" w:themeColor="background1" w:themeShade="80"/>
          <w:sz w:val="22"/>
          <w:szCs w:val="22"/>
          <w:lang w:val="en-NZ"/>
        </w:rPr>
      </w:pPr>
      <w:r w:rsidRPr="0073019A">
        <w:rPr>
          <w:b/>
          <w:bCs/>
          <w:color w:val="808080" w:themeColor="background1" w:themeShade="80"/>
          <w:sz w:val="22"/>
          <w:szCs w:val="22"/>
          <w:lang w:val="en-NZ"/>
        </w:rPr>
        <w:t xml:space="preserve">Consideration for provision of two mobility bases or a higher </w:t>
      </w:r>
    </w:p>
    <w:p w14:paraId="4E2A92E2" w14:textId="7E48E4F2" w:rsidR="003D7DD7" w:rsidRDefault="009302EF" w:rsidP="00904DAE">
      <w:pPr>
        <w:rPr>
          <w:b/>
          <w:bCs/>
          <w:iCs/>
          <w:color w:val="808080" w:themeColor="background1" w:themeShade="80"/>
          <w:sz w:val="22"/>
          <w:szCs w:val="22"/>
          <w:lang w:val="en-NZ"/>
        </w:rPr>
      </w:pPr>
      <w:r w:rsidRPr="0073019A">
        <w:rPr>
          <w:b/>
          <w:bCs/>
          <w:color w:val="808080" w:themeColor="background1" w:themeShade="80"/>
          <w:sz w:val="22"/>
          <w:szCs w:val="22"/>
          <w:lang w:val="en-NZ"/>
        </w:rPr>
        <w:t>spec</w:t>
      </w:r>
      <w:r w:rsidR="00904DAE" w:rsidRPr="0073019A">
        <w:rPr>
          <w:b/>
          <w:bCs/>
          <w:color w:val="808080" w:themeColor="background1" w:themeShade="80"/>
          <w:sz w:val="22"/>
          <w:szCs w:val="22"/>
          <w:lang w:val="en-NZ"/>
        </w:rPr>
        <w:t>/configurable</w:t>
      </w:r>
      <w:r w:rsidRPr="0073019A">
        <w:rPr>
          <w:b/>
          <w:bCs/>
          <w:color w:val="808080" w:themeColor="background1" w:themeShade="80"/>
          <w:sz w:val="22"/>
          <w:szCs w:val="22"/>
          <w:lang w:val="en-NZ"/>
        </w:rPr>
        <w:t xml:space="preserve"> </w:t>
      </w:r>
      <w:r w:rsidR="004874FD" w:rsidRPr="0073019A">
        <w:rPr>
          <w:b/>
          <w:bCs/>
          <w:color w:val="808080" w:themeColor="background1" w:themeShade="80"/>
          <w:sz w:val="22"/>
          <w:szCs w:val="22"/>
          <w:lang w:val="en-NZ"/>
        </w:rPr>
        <w:t xml:space="preserve">standard backup </w:t>
      </w:r>
      <w:r w:rsidR="00240106" w:rsidRPr="0073019A">
        <w:rPr>
          <w:b/>
          <w:bCs/>
          <w:color w:val="808080" w:themeColor="background1" w:themeShade="80"/>
          <w:sz w:val="22"/>
          <w:szCs w:val="22"/>
          <w:lang w:val="en-NZ"/>
        </w:rPr>
        <w:t>manual</w:t>
      </w:r>
      <w:r w:rsidRPr="0073019A">
        <w:rPr>
          <w:b/>
          <w:bCs/>
          <w:color w:val="808080" w:themeColor="background1" w:themeShade="80"/>
          <w:sz w:val="22"/>
          <w:szCs w:val="22"/>
          <w:lang w:val="en-NZ"/>
        </w:rPr>
        <w:t xml:space="preserve"> chair</w:t>
      </w:r>
      <w:r w:rsidR="00904DAE" w:rsidRPr="0073019A">
        <w:rPr>
          <w:b/>
          <w:bCs/>
          <w:color w:val="808080" w:themeColor="background1" w:themeShade="80"/>
          <w:sz w:val="22"/>
          <w:szCs w:val="22"/>
          <w:lang w:val="en-NZ"/>
        </w:rPr>
        <w:t xml:space="preserve"> (MWC)</w:t>
      </w:r>
      <w:r w:rsidR="00904DAE" w:rsidRPr="0073019A">
        <w:rPr>
          <w:b/>
          <w:bCs/>
          <w:iCs/>
          <w:color w:val="808080" w:themeColor="background1" w:themeShade="80"/>
          <w:sz w:val="22"/>
          <w:szCs w:val="22"/>
          <w:lang w:val="en-NZ"/>
        </w:rPr>
        <w:t xml:space="preserve"> </w:t>
      </w:r>
    </w:p>
    <w:p w14:paraId="3E04D8CD" w14:textId="22421089" w:rsidR="00904DAE" w:rsidRPr="003D7DD7" w:rsidRDefault="00904DAE" w:rsidP="00904DAE">
      <w:pPr>
        <w:rPr>
          <w:b/>
          <w:bCs/>
          <w:iCs/>
          <w:color w:val="808080" w:themeColor="background1" w:themeShade="80"/>
          <w:lang w:val="en-NZ"/>
        </w:rPr>
      </w:pPr>
      <w:r w:rsidRPr="003D7DD7">
        <w:rPr>
          <w:b/>
          <w:bCs/>
          <w:iCs/>
          <w:color w:val="808080" w:themeColor="background1" w:themeShade="80"/>
          <w:lang w:val="en-NZ"/>
        </w:rPr>
        <w:t>(A standard</w:t>
      </w:r>
      <w:r w:rsidR="00220C10">
        <w:rPr>
          <w:b/>
          <w:bCs/>
          <w:iCs/>
          <w:color w:val="808080" w:themeColor="background1" w:themeShade="80"/>
          <w:lang w:val="en-NZ"/>
        </w:rPr>
        <w:t xml:space="preserve"> backup</w:t>
      </w:r>
      <w:r w:rsidRPr="003D7DD7">
        <w:rPr>
          <w:b/>
          <w:bCs/>
          <w:iCs/>
          <w:color w:val="808080" w:themeColor="background1" w:themeShade="80"/>
          <w:lang w:val="en-NZ"/>
        </w:rPr>
        <w:t xml:space="preserve"> MWC is generally a basic chair with no</w:t>
      </w:r>
      <w:r w:rsidR="00220C10">
        <w:rPr>
          <w:b/>
          <w:bCs/>
          <w:iCs/>
          <w:color w:val="808080" w:themeColor="background1" w:themeShade="80"/>
          <w:lang w:val="en-NZ"/>
        </w:rPr>
        <w:t xml:space="preserve"> </w:t>
      </w:r>
      <w:r w:rsidRPr="003D7DD7">
        <w:rPr>
          <w:b/>
          <w:bCs/>
          <w:iCs/>
          <w:color w:val="808080" w:themeColor="background1" w:themeShade="80"/>
          <w:lang w:val="en-NZ"/>
        </w:rPr>
        <w:t>or minimal adjustment within the frame i.e. not a replication of the primary chair</w:t>
      </w:r>
      <w:r w:rsidR="003D7DD7">
        <w:rPr>
          <w:b/>
          <w:bCs/>
          <w:iCs/>
          <w:color w:val="808080" w:themeColor="background1" w:themeShade="80"/>
          <w:lang w:val="en-NZ"/>
        </w:rPr>
        <w:t>)</w:t>
      </w:r>
    </w:p>
    <w:p w14:paraId="71ADB95B" w14:textId="5AFDF9AD" w:rsidR="009302EF" w:rsidRPr="009302EF" w:rsidRDefault="009302EF" w:rsidP="00F36464">
      <w:pPr>
        <w:pStyle w:val="Heading3"/>
        <w:rPr>
          <w:lang w:val="en-NZ"/>
        </w:rPr>
      </w:pPr>
    </w:p>
    <w:p w14:paraId="30ACCA7A" w14:textId="0972160F" w:rsidR="009302EF" w:rsidRPr="009302EF" w:rsidRDefault="009302EF" w:rsidP="009302EF">
      <w:pPr>
        <w:rPr>
          <w:iCs/>
          <w:lang w:val="en-NZ"/>
        </w:rPr>
      </w:pPr>
      <w:r w:rsidRPr="009302EF">
        <w:rPr>
          <w:i/>
          <w:lang w:val="en-NZ"/>
        </w:rPr>
        <w:t xml:space="preserve"> ‘Generally, only </w:t>
      </w:r>
      <w:r w:rsidRPr="009302EF">
        <w:rPr>
          <w:b/>
          <w:i/>
          <w:lang w:val="en-NZ"/>
        </w:rPr>
        <w:t xml:space="preserve">one option </w:t>
      </w:r>
      <w:r w:rsidRPr="009302EF">
        <w:rPr>
          <w:i/>
          <w:lang w:val="en-NZ"/>
        </w:rPr>
        <w:t>to enable a person to sit safely and comfortably is provided. Consideration may be given for a dedicated seating option to enable a person to eat and drink safely if these activities are not possible within their everyday seatin</w:t>
      </w:r>
      <w:r w:rsidR="00AF636A">
        <w:rPr>
          <w:i/>
          <w:lang w:val="en-NZ"/>
        </w:rPr>
        <w:t>g</w:t>
      </w:r>
      <w:r w:rsidRPr="009302EF">
        <w:rPr>
          <w:iCs/>
          <w:lang w:val="en-NZ"/>
        </w:rPr>
        <w:t>’ (Equipment and Modification Services Equipment</w:t>
      </w:r>
      <w:r w:rsidR="00A7009E">
        <w:rPr>
          <w:iCs/>
          <w:lang w:val="en-NZ"/>
        </w:rPr>
        <w:t xml:space="preserve"> (EMS)</w:t>
      </w:r>
      <w:r w:rsidRPr="009302EF">
        <w:rPr>
          <w:iCs/>
          <w:lang w:val="en-NZ"/>
        </w:rPr>
        <w:t xml:space="preserve"> Manual, 2014, 11.5.10).  </w:t>
      </w:r>
    </w:p>
    <w:p w14:paraId="6FE06BE1" w14:textId="5DB81E10" w:rsidR="009302EF" w:rsidRPr="003D7DD7" w:rsidRDefault="009302EF" w:rsidP="00E924A6">
      <w:pPr>
        <w:spacing w:before="120"/>
        <w:rPr>
          <w:i/>
          <w:color w:val="auto"/>
          <w:lang w:val="en-NZ"/>
        </w:rPr>
      </w:pPr>
      <w:r w:rsidRPr="003D7DD7">
        <w:rPr>
          <w:i/>
          <w:color w:val="auto"/>
          <w:lang w:val="en-NZ"/>
        </w:rPr>
        <w:t xml:space="preserve">‘A </w:t>
      </w:r>
      <w:bookmarkStart w:id="1" w:name="_Hlk61518334"/>
      <w:r w:rsidR="004874FD" w:rsidRPr="003D7DD7">
        <w:rPr>
          <w:i/>
          <w:color w:val="auto"/>
          <w:lang w:val="en-NZ"/>
        </w:rPr>
        <w:t xml:space="preserve">standard manual backup </w:t>
      </w:r>
      <w:r w:rsidRPr="003D7DD7">
        <w:rPr>
          <w:i/>
          <w:color w:val="auto"/>
          <w:lang w:val="en-NZ"/>
        </w:rPr>
        <w:t>wheelchair</w:t>
      </w:r>
      <w:bookmarkEnd w:id="1"/>
      <w:r w:rsidRPr="003D7DD7">
        <w:rPr>
          <w:i/>
          <w:color w:val="auto"/>
          <w:lang w:val="en-NZ"/>
        </w:rPr>
        <w:t xml:space="preserve"> can be considered for use by a person who has received a power wheelchair</w:t>
      </w:r>
      <w:r w:rsidR="00A7009E" w:rsidRPr="003D7DD7">
        <w:rPr>
          <w:i/>
          <w:color w:val="auto"/>
          <w:lang w:val="en-NZ"/>
        </w:rPr>
        <w:t xml:space="preserve"> or </w:t>
      </w:r>
      <w:r w:rsidRPr="003D7DD7">
        <w:rPr>
          <w:i/>
          <w:color w:val="auto"/>
          <w:lang w:val="en-NZ"/>
        </w:rPr>
        <w:t xml:space="preserve">when the is </w:t>
      </w:r>
      <w:r w:rsidR="004874FD" w:rsidRPr="003D7DD7">
        <w:rPr>
          <w:i/>
          <w:color w:val="auto"/>
          <w:lang w:val="en-NZ"/>
        </w:rPr>
        <w:t xml:space="preserve">power wheelchair </w:t>
      </w:r>
      <w:r w:rsidRPr="003D7DD7">
        <w:rPr>
          <w:i/>
          <w:color w:val="auto"/>
          <w:lang w:val="en-NZ"/>
        </w:rPr>
        <w:t>not available’ (E</w:t>
      </w:r>
      <w:r w:rsidR="00A7009E" w:rsidRPr="003D7DD7">
        <w:rPr>
          <w:i/>
          <w:color w:val="auto"/>
          <w:lang w:val="en-NZ"/>
        </w:rPr>
        <w:t>MS</w:t>
      </w:r>
      <w:r w:rsidRPr="003D7DD7">
        <w:rPr>
          <w:i/>
          <w:color w:val="auto"/>
          <w:lang w:val="en-NZ"/>
        </w:rPr>
        <w:t xml:space="preserve"> Equipment Manual, 2014, 11.5.3).</w:t>
      </w:r>
    </w:p>
    <w:p w14:paraId="6B96DBC4" w14:textId="77777777" w:rsidR="003D7DD7" w:rsidRPr="003D7DD7" w:rsidRDefault="00904DAE" w:rsidP="003D7DD7">
      <w:pPr>
        <w:pStyle w:val="ListParagraph"/>
        <w:numPr>
          <w:ilvl w:val="0"/>
          <w:numId w:val="4"/>
        </w:numPr>
        <w:rPr>
          <w:iCs/>
          <w:lang w:val="en-NZ"/>
        </w:rPr>
      </w:pPr>
      <w:r w:rsidRPr="003D7DD7">
        <w:rPr>
          <w:iCs/>
          <w:lang w:val="en-NZ"/>
        </w:rPr>
        <w:t xml:space="preserve">A </w:t>
      </w:r>
      <w:r w:rsidR="004874FD" w:rsidRPr="003D7DD7">
        <w:rPr>
          <w:iCs/>
          <w:lang w:val="en-NZ"/>
        </w:rPr>
        <w:t>standard manual backup wheelchair (</w:t>
      </w:r>
      <w:r w:rsidRPr="003D7DD7">
        <w:rPr>
          <w:iCs/>
          <w:lang w:val="en-NZ"/>
        </w:rPr>
        <w:t>MWC</w:t>
      </w:r>
      <w:r w:rsidR="004874FD" w:rsidRPr="003D7DD7">
        <w:rPr>
          <w:iCs/>
          <w:lang w:val="en-NZ"/>
        </w:rPr>
        <w:t>)</w:t>
      </w:r>
      <w:r w:rsidRPr="003D7DD7">
        <w:rPr>
          <w:iCs/>
          <w:lang w:val="en-NZ"/>
        </w:rPr>
        <w:t xml:space="preserve"> is provided and can be used when the </w:t>
      </w:r>
      <w:r w:rsidR="004874FD" w:rsidRPr="003D7DD7">
        <w:rPr>
          <w:iCs/>
          <w:lang w:val="en-NZ"/>
        </w:rPr>
        <w:t>power wheelchair (</w:t>
      </w:r>
      <w:r w:rsidRPr="003D7DD7">
        <w:rPr>
          <w:iCs/>
          <w:lang w:val="en-NZ"/>
        </w:rPr>
        <w:t>PWC</w:t>
      </w:r>
      <w:r w:rsidR="004874FD" w:rsidRPr="003D7DD7">
        <w:rPr>
          <w:iCs/>
          <w:lang w:val="en-NZ"/>
        </w:rPr>
        <w:t>)</w:t>
      </w:r>
      <w:r w:rsidRPr="003D7DD7">
        <w:rPr>
          <w:iCs/>
          <w:lang w:val="en-NZ"/>
        </w:rPr>
        <w:t xml:space="preserve"> has broken down and/or is with the technician for repairs and maintenance, it is not expected that a person will be independently mobile in this chair.  </w:t>
      </w:r>
    </w:p>
    <w:p w14:paraId="780EFEA6" w14:textId="6086DE18" w:rsidR="003D7DD7" w:rsidRPr="003D7DD7" w:rsidRDefault="00904DAE" w:rsidP="003D7DD7">
      <w:pPr>
        <w:pStyle w:val="ListParagraph"/>
        <w:numPr>
          <w:ilvl w:val="0"/>
          <w:numId w:val="4"/>
        </w:numPr>
        <w:rPr>
          <w:iCs/>
          <w:lang w:val="en-NZ"/>
        </w:rPr>
      </w:pPr>
      <w:r w:rsidRPr="003D7DD7">
        <w:rPr>
          <w:iCs/>
          <w:lang w:val="en-NZ"/>
        </w:rPr>
        <w:t xml:space="preserve">It is anticipated that the </w:t>
      </w:r>
      <w:r w:rsidR="003D7DD7" w:rsidRPr="003D7DD7">
        <w:rPr>
          <w:iCs/>
          <w:lang w:val="en-NZ"/>
        </w:rPr>
        <w:t xml:space="preserve">standard backup </w:t>
      </w:r>
      <w:r w:rsidRPr="003D7DD7">
        <w:rPr>
          <w:iCs/>
          <w:lang w:val="en-NZ"/>
        </w:rPr>
        <w:t>MWC is used infrequently and will meet the mobility and postural support needs of the person for a short duration of time.</w:t>
      </w:r>
    </w:p>
    <w:p w14:paraId="0F979479" w14:textId="31032393" w:rsidR="009302EF" w:rsidRPr="003D7DD7" w:rsidRDefault="009302EF" w:rsidP="003D7DD7">
      <w:pPr>
        <w:pStyle w:val="ListParagraph"/>
        <w:numPr>
          <w:ilvl w:val="0"/>
          <w:numId w:val="4"/>
        </w:numPr>
        <w:rPr>
          <w:iCs/>
          <w:lang w:val="en-NZ"/>
        </w:rPr>
      </w:pPr>
      <w:r w:rsidRPr="003D7DD7">
        <w:rPr>
          <w:iCs/>
          <w:lang w:val="en-NZ"/>
        </w:rPr>
        <w:t>Provision of a</w:t>
      </w:r>
      <w:r w:rsidR="00240106" w:rsidRPr="00240106">
        <w:t xml:space="preserve"> </w:t>
      </w:r>
      <w:r w:rsidR="004874FD" w:rsidRPr="003D7DD7">
        <w:rPr>
          <w:iCs/>
          <w:lang w:val="en-NZ"/>
        </w:rPr>
        <w:t xml:space="preserve">standard backup </w:t>
      </w:r>
      <w:r w:rsidR="00A7009E" w:rsidRPr="003D7DD7">
        <w:rPr>
          <w:iCs/>
          <w:lang w:val="en-NZ"/>
        </w:rPr>
        <w:t>MWC</w:t>
      </w:r>
      <w:r w:rsidRPr="003D7DD7">
        <w:rPr>
          <w:iCs/>
          <w:lang w:val="en-NZ"/>
        </w:rPr>
        <w:t xml:space="preserve"> is subject to M</w:t>
      </w:r>
      <w:r w:rsidR="00771C10" w:rsidRPr="003D7DD7">
        <w:rPr>
          <w:iCs/>
          <w:lang w:val="en-NZ"/>
        </w:rPr>
        <w:t xml:space="preserve">OH essential </w:t>
      </w:r>
      <w:r w:rsidR="00A7009E" w:rsidRPr="003D7DD7">
        <w:rPr>
          <w:iCs/>
          <w:lang w:val="en-NZ"/>
        </w:rPr>
        <w:t>access criteria having</w:t>
      </w:r>
      <w:r w:rsidRPr="003D7DD7">
        <w:rPr>
          <w:iCs/>
          <w:lang w:val="en-NZ"/>
        </w:rPr>
        <w:t xml:space="preserve"> been met.</w:t>
      </w:r>
    </w:p>
    <w:p w14:paraId="665ECC55" w14:textId="1DD78609" w:rsidR="00F41480" w:rsidRPr="00F41480" w:rsidRDefault="009523FF" w:rsidP="003031FC">
      <w:pPr>
        <w:spacing w:before="120"/>
        <w:rPr>
          <w:b/>
          <w:bCs/>
          <w:iCs/>
          <w:sz w:val="20"/>
          <w:szCs w:val="20"/>
          <w:lang w:val="en-NZ"/>
        </w:rPr>
      </w:pPr>
      <w:r>
        <w:rPr>
          <w:b/>
          <w:bCs/>
          <w:iCs/>
          <w:sz w:val="20"/>
          <w:szCs w:val="20"/>
          <w:lang w:val="en-NZ"/>
        </w:rPr>
        <w:t>Before consulting an EMS Advisor, p</w:t>
      </w:r>
      <w:r w:rsidR="00F41480" w:rsidRPr="00F41480">
        <w:rPr>
          <w:b/>
          <w:bCs/>
          <w:iCs/>
          <w:sz w:val="20"/>
          <w:szCs w:val="20"/>
          <w:lang w:val="en-NZ"/>
        </w:rPr>
        <w:t>lease consider:</w:t>
      </w:r>
    </w:p>
    <w:p w14:paraId="5DD1B484" w14:textId="70A76177" w:rsidR="00F41480" w:rsidRPr="003031FC" w:rsidRDefault="0073019A" w:rsidP="003031FC">
      <w:pPr>
        <w:pStyle w:val="ListParagraph"/>
        <w:numPr>
          <w:ilvl w:val="0"/>
          <w:numId w:val="3"/>
        </w:numPr>
        <w:spacing w:before="120"/>
        <w:ind w:left="714" w:hanging="357"/>
        <w:rPr>
          <w:iCs/>
          <w:lang w:val="en-NZ"/>
        </w:rPr>
      </w:pPr>
      <w:r>
        <w:rPr>
          <w:iCs/>
          <w:lang w:val="en-NZ"/>
        </w:rPr>
        <w:t>If a</w:t>
      </w:r>
      <w:r w:rsidR="00F41480" w:rsidRPr="003031FC">
        <w:rPr>
          <w:iCs/>
          <w:lang w:val="en-NZ"/>
        </w:rPr>
        <w:t xml:space="preserve"> scripted</w:t>
      </w:r>
      <w:r w:rsidR="00240106" w:rsidRPr="00240106">
        <w:rPr>
          <w:iCs/>
          <w:lang w:val="en-NZ"/>
        </w:rPr>
        <w:t xml:space="preserve"> MWC </w:t>
      </w:r>
      <w:r w:rsidR="00F41480" w:rsidRPr="003031FC">
        <w:rPr>
          <w:iCs/>
          <w:lang w:val="en-NZ"/>
        </w:rPr>
        <w:t xml:space="preserve">or a </w:t>
      </w:r>
      <w:r w:rsidR="00240106">
        <w:rPr>
          <w:iCs/>
          <w:lang w:val="en-NZ"/>
        </w:rPr>
        <w:t>PWC</w:t>
      </w:r>
      <w:r w:rsidR="00F41480" w:rsidRPr="003031FC">
        <w:rPr>
          <w:iCs/>
          <w:lang w:val="en-NZ"/>
        </w:rPr>
        <w:t xml:space="preserve"> is intended to be a person’s primary means of mobility</w:t>
      </w:r>
      <w:r w:rsidR="00240106">
        <w:rPr>
          <w:iCs/>
          <w:lang w:val="en-NZ"/>
        </w:rPr>
        <w:t xml:space="preserve"> and does meet MOH eligib</w:t>
      </w:r>
      <w:r w:rsidR="000B5975">
        <w:rPr>
          <w:iCs/>
          <w:lang w:val="en-NZ"/>
        </w:rPr>
        <w:t>ility</w:t>
      </w:r>
      <w:r w:rsidR="00240106">
        <w:rPr>
          <w:iCs/>
          <w:lang w:val="en-NZ"/>
        </w:rPr>
        <w:t xml:space="preserve"> and access criteria</w:t>
      </w:r>
      <w:r w:rsidR="00F41480" w:rsidRPr="003031FC">
        <w:rPr>
          <w:iCs/>
          <w:lang w:val="en-NZ"/>
        </w:rPr>
        <w:t>.</w:t>
      </w:r>
    </w:p>
    <w:p w14:paraId="42CF4988" w14:textId="77777777" w:rsidR="000B5975" w:rsidRDefault="00F41480" w:rsidP="00F41480">
      <w:pPr>
        <w:pStyle w:val="ListParagraph"/>
        <w:numPr>
          <w:ilvl w:val="0"/>
          <w:numId w:val="3"/>
        </w:numPr>
        <w:rPr>
          <w:iCs/>
          <w:lang w:val="en-NZ"/>
        </w:rPr>
      </w:pPr>
      <w:r w:rsidRPr="003031FC">
        <w:rPr>
          <w:iCs/>
          <w:lang w:val="en-NZ"/>
        </w:rPr>
        <w:t xml:space="preserve">When recommending a wheelchair for a person, factors like transport and access in and around the home need to be discussed and a plan implemented (if needed) before the wheelchair is </w:t>
      </w:r>
      <w:r w:rsidR="000B5975">
        <w:rPr>
          <w:iCs/>
          <w:lang w:val="en-NZ"/>
        </w:rPr>
        <w:t>issued</w:t>
      </w:r>
      <w:r w:rsidR="000B5975" w:rsidRPr="003031FC">
        <w:rPr>
          <w:iCs/>
          <w:lang w:val="en-NZ"/>
        </w:rPr>
        <w:t>.</w:t>
      </w:r>
    </w:p>
    <w:p w14:paraId="51070B69" w14:textId="0DC2D45F" w:rsidR="00F41480" w:rsidRPr="003031FC" w:rsidRDefault="000B5975" w:rsidP="00F41480">
      <w:pPr>
        <w:pStyle w:val="ListParagraph"/>
        <w:numPr>
          <w:ilvl w:val="0"/>
          <w:numId w:val="3"/>
        </w:numPr>
        <w:rPr>
          <w:iCs/>
          <w:lang w:val="en-NZ"/>
        </w:rPr>
      </w:pPr>
      <w:r>
        <w:rPr>
          <w:iCs/>
          <w:lang w:val="en-NZ"/>
        </w:rPr>
        <w:lastRenderedPageBreak/>
        <w:t>It is noted that this</w:t>
      </w:r>
      <w:r w:rsidR="00F41480" w:rsidRPr="003031FC">
        <w:rPr>
          <w:iCs/>
          <w:lang w:val="en-NZ"/>
        </w:rPr>
        <w:t xml:space="preserve"> solution may not meet a person’s entire mobility needs</w:t>
      </w:r>
      <w:r w:rsidR="002D0A65">
        <w:rPr>
          <w:iCs/>
          <w:lang w:val="en-NZ"/>
        </w:rPr>
        <w:t>,</w:t>
      </w:r>
      <w:r w:rsidR="00F41480" w:rsidRPr="003031FC">
        <w:rPr>
          <w:iCs/>
          <w:lang w:val="en-NZ"/>
        </w:rPr>
        <w:t xml:space="preserve"> e.g. the solution provided may not meet their recreational mobility needs.</w:t>
      </w:r>
    </w:p>
    <w:p w14:paraId="3BB4FE10" w14:textId="6078849C" w:rsidR="00F41480" w:rsidRPr="003031FC" w:rsidRDefault="00F41480" w:rsidP="00F41480">
      <w:pPr>
        <w:pStyle w:val="ListParagraph"/>
        <w:numPr>
          <w:ilvl w:val="0"/>
          <w:numId w:val="3"/>
        </w:numPr>
        <w:rPr>
          <w:iCs/>
          <w:lang w:val="en-NZ"/>
        </w:rPr>
      </w:pPr>
      <w:r w:rsidRPr="003031FC">
        <w:rPr>
          <w:iCs/>
          <w:lang w:val="en-NZ"/>
        </w:rPr>
        <w:t xml:space="preserve">For </w:t>
      </w:r>
      <w:r w:rsidR="000B5975">
        <w:rPr>
          <w:iCs/>
          <w:lang w:val="en-NZ"/>
        </w:rPr>
        <w:t>PWC</w:t>
      </w:r>
      <w:r w:rsidRPr="003031FC">
        <w:rPr>
          <w:iCs/>
          <w:lang w:val="en-NZ"/>
        </w:rPr>
        <w:t xml:space="preserve"> users, a plan needs to be discussed for when the </w:t>
      </w:r>
      <w:r w:rsidR="000B5975">
        <w:rPr>
          <w:iCs/>
          <w:lang w:val="en-NZ"/>
        </w:rPr>
        <w:t>PWC</w:t>
      </w:r>
      <w:r w:rsidRPr="003031FC">
        <w:rPr>
          <w:iCs/>
          <w:lang w:val="en-NZ"/>
        </w:rPr>
        <w:t xml:space="preserve"> is unavailable (e.g. is being serviced or repaired by the technician), particularly if the user is unable to self-propel their </w:t>
      </w:r>
      <w:r w:rsidR="0073019A" w:rsidRPr="0073019A">
        <w:rPr>
          <w:iCs/>
          <w:lang w:val="en-NZ"/>
        </w:rPr>
        <w:t xml:space="preserve">standard backup </w:t>
      </w:r>
      <w:r w:rsidR="0073019A">
        <w:rPr>
          <w:iCs/>
          <w:lang w:val="en-NZ"/>
        </w:rPr>
        <w:t>MWC</w:t>
      </w:r>
      <w:r w:rsidR="004874FD">
        <w:rPr>
          <w:iCs/>
          <w:lang w:val="en-NZ"/>
        </w:rPr>
        <w:t xml:space="preserve"> and/or is home alone for a significant period of time</w:t>
      </w:r>
      <w:r w:rsidRPr="003031FC">
        <w:rPr>
          <w:iCs/>
          <w:lang w:val="en-NZ"/>
        </w:rPr>
        <w:t>.</w:t>
      </w:r>
    </w:p>
    <w:p w14:paraId="29836FC6" w14:textId="0A843615" w:rsidR="00F41480" w:rsidRPr="003031FC" w:rsidRDefault="00F41480" w:rsidP="00F41480">
      <w:pPr>
        <w:pStyle w:val="ListParagraph"/>
        <w:numPr>
          <w:ilvl w:val="0"/>
          <w:numId w:val="3"/>
        </w:numPr>
        <w:rPr>
          <w:iCs/>
          <w:lang w:val="en-NZ"/>
        </w:rPr>
      </w:pPr>
      <w:r w:rsidRPr="003031FC">
        <w:rPr>
          <w:iCs/>
          <w:lang w:val="en-NZ"/>
        </w:rPr>
        <w:t xml:space="preserve">If a </w:t>
      </w:r>
      <w:r w:rsidR="00771C10" w:rsidRPr="003031FC">
        <w:rPr>
          <w:iCs/>
          <w:lang w:val="en-NZ"/>
        </w:rPr>
        <w:t>MOH</w:t>
      </w:r>
      <w:r w:rsidRPr="003031FC">
        <w:rPr>
          <w:iCs/>
          <w:lang w:val="en-NZ"/>
        </w:rPr>
        <w:t xml:space="preserve"> funded </w:t>
      </w:r>
      <w:r w:rsidR="0073019A">
        <w:rPr>
          <w:iCs/>
          <w:lang w:val="en-NZ"/>
        </w:rPr>
        <w:t>PWC</w:t>
      </w:r>
      <w:r w:rsidRPr="003031FC">
        <w:rPr>
          <w:iCs/>
          <w:lang w:val="en-NZ"/>
        </w:rPr>
        <w:t xml:space="preserve"> is being used at school only, </w:t>
      </w:r>
      <w:r w:rsidR="0073019A" w:rsidRPr="003031FC">
        <w:rPr>
          <w:iCs/>
          <w:lang w:val="en-NZ"/>
        </w:rPr>
        <w:t xml:space="preserve">a </w:t>
      </w:r>
      <w:r w:rsidR="0073019A">
        <w:rPr>
          <w:iCs/>
          <w:lang w:val="en-NZ"/>
        </w:rPr>
        <w:t>standard</w:t>
      </w:r>
      <w:r w:rsidR="0073019A" w:rsidRPr="0073019A">
        <w:rPr>
          <w:iCs/>
          <w:lang w:val="en-NZ"/>
        </w:rPr>
        <w:t xml:space="preserve"> backup </w:t>
      </w:r>
      <w:r w:rsidR="000B5975" w:rsidRPr="000B5975">
        <w:rPr>
          <w:iCs/>
          <w:lang w:val="en-NZ"/>
        </w:rPr>
        <w:t xml:space="preserve">MWC </w:t>
      </w:r>
      <w:r w:rsidRPr="003031FC">
        <w:rPr>
          <w:iCs/>
          <w:lang w:val="en-NZ"/>
        </w:rPr>
        <w:t>can be provided for at use home and in the community.</w:t>
      </w:r>
    </w:p>
    <w:p w14:paraId="29FDD762" w14:textId="41563ABC" w:rsidR="000B5975" w:rsidRDefault="000B5975" w:rsidP="000B5975">
      <w:pPr>
        <w:pStyle w:val="ListParagraph"/>
        <w:numPr>
          <w:ilvl w:val="0"/>
          <w:numId w:val="3"/>
        </w:numPr>
        <w:rPr>
          <w:iCs/>
          <w:lang w:val="en-NZ"/>
        </w:rPr>
      </w:pPr>
      <w:r w:rsidRPr="003031FC">
        <w:rPr>
          <w:iCs/>
          <w:lang w:val="en-NZ"/>
        </w:rPr>
        <w:t xml:space="preserve">For people learning to independently drive a </w:t>
      </w:r>
      <w:r>
        <w:rPr>
          <w:iCs/>
          <w:lang w:val="en-NZ"/>
        </w:rPr>
        <w:t>PWC</w:t>
      </w:r>
      <w:r w:rsidRPr="003031FC">
        <w:rPr>
          <w:iCs/>
          <w:lang w:val="en-NZ"/>
        </w:rPr>
        <w:t xml:space="preserve">, consideration needs to be given to whether the </w:t>
      </w:r>
      <w:r>
        <w:rPr>
          <w:iCs/>
          <w:lang w:val="en-NZ"/>
        </w:rPr>
        <w:t>PWC</w:t>
      </w:r>
      <w:r w:rsidRPr="003031FC">
        <w:rPr>
          <w:iCs/>
          <w:lang w:val="en-NZ"/>
        </w:rPr>
        <w:t xml:space="preserve"> is suitable as a primary chair. MOH EMS funding is to provide a person with functional independent mobility; it is not intended to provide ‘training chairs’ for therapy purposes or for people where independent driving is a long-term goal.</w:t>
      </w:r>
    </w:p>
    <w:p w14:paraId="1AE38F0A" w14:textId="72DC33B3" w:rsidR="000B5975" w:rsidRPr="003031FC" w:rsidRDefault="000B5975" w:rsidP="000B5975">
      <w:pPr>
        <w:pStyle w:val="ListParagraph"/>
        <w:numPr>
          <w:ilvl w:val="0"/>
          <w:numId w:val="3"/>
        </w:numPr>
        <w:rPr>
          <w:iCs/>
          <w:lang w:val="en-NZ"/>
        </w:rPr>
      </w:pPr>
      <w:r w:rsidRPr="003031FC">
        <w:rPr>
          <w:iCs/>
          <w:lang w:val="en-NZ"/>
        </w:rPr>
        <w:t xml:space="preserve">When a person has mobility needs that do not meet MOH EMS eligibility and access criteria, alternative sources of funding </w:t>
      </w:r>
      <w:r>
        <w:rPr>
          <w:iCs/>
          <w:lang w:val="en-NZ"/>
        </w:rPr>
        <w:t xml:space="preserve">will </w:t>
      </w:r>
      <w:r w:rsidRPr="003031FC">
        <w:rPr>
          <w:iCs/>
          <w:lang w:val="en-NZ"/>
        </w:rPr>
        <w:t>need to be considered.</w:t>
      </w:r>
    </w:p>
    <w:p w14:paraId="468E1566" w14:textId="77777777" w:rsidR="003A2B37" w:rsidRPr="003A2B37" w:rsidRDefault="003A2B37" w:rsidP="003A2B37">
      <w:pPr>
        <w:rPr>
          <w:iCs/>
          <w:sz w:val="14"/>
          <w:szCs w:val="14"/>
          <w:lang w:val="en-NZ"/>
        </w:rPr>
      </w:pPr>
    </w:p>
    <w:p w14:paraId="2DF0ABD2" w14:textId="27E7F7AE" w:rsidR="003C1E73" w:rsidRDefault="003C1E73" w:rsidP="003C1E73">
      <w:pPr>
        <w:rPr>
          <w:i/>
          <w:sz w:val="12"/>
          <w:szCs w:val="12"/>
          <w:lang w:val="en-NZ"/>
        </w:rPr>
      </w:pPr>
    </w:p>
    <w:p w14:paraId="427571DE" w14:textId="77777777" w:rsidR="00F13E91" w:rsidRDefault="00F13E91" w:rsidP="00F13E91">
      <w:pPr>
        <w:rPr>
          <w:lang w:val="en-NZ"/>
        </w:rPr>
      </w:pPr>
    </w:p>
    <w:p w14:paraId="1AF75946" w14:textId="1C487DB5" w:rsidR="00F13E91" w:rsidRPr="00F13E91" w:rsidRDefault="00F13E91" w:rsidP="00F13E91">
      <w:pPr>
        <w:pStyle w:val="Heading3"/>
        <w:rPr>
          <w:lang w:val="en-NZ"/>
        </w:rPr>
      </w:pPr>
      <w:r w:rsidRPr="00F13E91">
        <w:rPr>
          <w:lang w:val="en-NZ"/>
        </w:rPr>
        <w:t xml:space="preserve">Consideration of provision of a second seating system for use on the </w:t>
      </w:r>
      <w:r w:rsidR="0073019A" w:rsidRPr="0073019A">
        <w:rPr>
          <w:lang w:val="en-NZ"/>
        </w:rPr>
        <w:t xml:space="preserve">standard backup </w:t>
      </w:r>
      <w:r w:rsidR="000B5975" w:rsidRPr="000B5975">
        <w:rPr>
          <w:lang w:val="en-NZ"/>
        </w:rPr>
        <w:t>MWC</w:t>
      </w:r>
    </w:p>
    <w:p w14:paraId="1E289006" w14:textId="3572D37A" w:rsidR="00F13E91" w:rsidRPr="00F13E91" w:rsidRDefault="00F13E91" w:rsidP="00F13E91">
      <w:pPr>
        <w:rPr>
          <w:b/>
          <w:sz w:val="20"/>
          <w:szCs w:val="20"/>
          <w:lang w:val="en-NZ"/>
        </w:rPr>
      </w:pPr>
      <w:r w:rsidRPr="00F13E91">
        <w:rPr>
          <w:b/>
          <w:sz w:val="20"/>
          <w:szCs w:val="20"/>
          <w:lang w:val="en-NZ"/>
        </w:rPr>
        <w:t>Before consulting an EMS Advisor</w:t>
      </w:r>
      <w:r w:rsidR="009523FF">
        <w:rPr>
          <w:b/>
          <w:sz w:val="20"/>
          <w:szCs w:val="20"/>
          <w:lang w:val="en-NZ"/>
        </w:rPr>
        <w:t>, consider</w:t>
      </w:r>
      <w:r w:rsidRPr="00F13E91">
        <w:rPr>
          <w:b/>
          <w:sz w:val="20"/>
          <w:szCs w:val="20"/>
          <w:lang w:val="en-NZ"/>
        </w:rPr>
        <w:t>:</w:t>
      </w:r>
    </w:p>
    <w:p w14:paraId="1529F57F" w14:textId="0D1B7C34" w:rsidR="00F13E91" w:rsidRPr="00F13E91" w:rsidRDefault="00F13E91" w:rsidP="00F13E91">
      <w:pPr>
        <w:numPr>
          <w:ilvl w:val="0"/>
          <w:numId w:val="2"/>
        </w:numPr>
        <w:rPr>
          <w:lang w:val="en-NZ"/>
        </w:rPr>
      </w:pPr>
      <w:r w:rsidRPr="00F13E91">
        <w:rPr>
          <w:lang w:val="en-NZ"/>
        </w:rPr>
        <w:t xml:space="preserve">It is accepted that </w:t>
      </w:r>
      <w:r w:rsidR="0001586F" w:rsidRPr="00F13E91">
        <w:rPr>
          <w:lang w:val="en-NZ"/>
        </w:rPr>
        <w:t>w</w:t>
      </w:r>
      <w:r w:rsidR="003D7DD7">
        <w:rPr>
          <w:lang w:val="en-NZ"/>
        </w:rPr>
        <w:t>h</w:t>
      </w:r>
      <w:r w:rsidR="0001586F" w:rsidRPr="00F13E91">
        <w:rPr>
          <w:lang w:val="en-NZ"/>
        </w:rPr>
        <w:t>ere</w:t>
      </w:r>
      <w:r w:rsidRPr="00F13E91">
        <w:rPr>
          <w:lang w:val="en-NZ"/>
        </w:rPr>
        <w:t xml:space="preserve"> able, the client or caregivers will swap the seating from the primary wheelchair to the </w:t>
      </w:r>
      <w:r w:rsidR="0073019A" w:rsidRPr="0073019A">
        <w:rPr>
          <w:lang w:val="en-NZ"/>
        </w:rPr>
        <w:t xml:space="preserve">standard backup </w:t>
      </w:r>
      <w:r w:rsidR="000B5975" w:rsidRPr="000B5975">
        <w:rPr>
          <w:lang w:val="en-NZ"/>
        </w:rPr>
        <w:t>MWC</w:t>
      </w:r>
      <w:r w:rsidRPr="00F13E91">
        <w:rPr>
          <w:lang w:val="en-NZ"/>
        </w:rPr>
        <w:t>.</w:t>
      </w:r>
    </w:p>
    <w:p w14:paraId="05BBCF46" w14:textId="55326CF3" w:rsidR="00F13E91" w:rsidRPr="00F13E91" w:rsidRDefault="003D7DD7" w:rsidP="00F13E91">
      <w:pPr>
        <w:numPr>
          <w:ilvl w:val="0"/>
          <w:numId w:val="2"/>
        </w:numPr>
        <w:rPr>
          <w:lang w:val="en-NZ"/>
        </w:rPr>
      </w:pPr>
      <w:r>
        <w:rPr>
          <w:lang w:val="en-NZ"/>
        </w:rPr>
        <w:t>C</w:t>
      </w:r>
      <w:r w:rsidR="00F13E91" w:rsidRPr="00F13E91">
        <w:rPr>
          <w:lang w:val="en-NZ"/>
        </w:rPr>
        <w:t xml:space="preserve">onsider how the seating is to be transferred between chairs (e.g. provision of additional </w:t>
      </w:r>
      <w:r w:rsidR="004874FD">
        <w:rPr>
          <w:lang w:val="en-NZ"/>
        </w:rPr>
        <w:t xml:space="preserve">mounting hardware </w:t>
      </w:r>
      <w:r w:rsidR="00F13E91" w:rsidRPr="00F13E91">
        <w:rPr>
          <w:lang w:val="en-NZ"/>
        </w:rPr>
        <w:t>or back supports, additional Velcro).</w:t>
      </w:r>
    </w:p>
    <w:p w14:paraId="110B6482" w14:textId="72788FAF" w:rsidR="00F13E91" w:rsidRDefault="003D7DD7" w:rsidP="00F13E91">
      <w:pPr>
        <w:numPr>
          <w:ilvl w:val="0"/>
          <w:numId w:val="2"/>
        </w:numPr>
        <w:rPr>
          <w:lang w:val="en-NZ"/>
        </w:rPr>
      </w:pPr>
      <w:r>
        <w:rPr>
          <w:lang w:val="en-NZ"/>
        </w:rPr>
        <w:t>C</w:t>
      </w:r>
      <w:r w:rsidR="00F13E91" w:rsidRPr="00F13E91">
        <w:rPr>
          <w:lang w:val="en-NZ"/>
        </w:rPr>
        <w:t xml:space="preserve">onsider the frequency the </w:t>
      </w:r>
      <w:r w:rsidR="0073019A" w:rsidRPr="0073019A">
        <w:rPr>
          <w:lang w:val="en-NZ"/>
        </w:rPr>
        <w:t xml:space="preserve">standard backup </w:t>
      </w:r>
      <w:r w:rsidR="00240106">
        <w:rPr>
          <w:lang w:val="en-NZ"/>
        </w:rPr>
        <w:t>MWC</w:t>
      </w:r>
      <w:r w:rsidR="00F13E91" w:rsidRPr="00F13E91">
        <w:rPr>
          <w:lang w:val="en-NZ"/>
        </w:rPr>
        <w:t xml:space="preserve"> is used and/or the length of time the person needs to sit in the chair to ensure a </w:t>
      </w:r>
      <w:r w:rsidR="000B5975" w:rsidRPr="00F13E91">
        <w:rPr>
          <w:lang w:val="en-NZ"/>
        </w:rPr>
        <w:t>cost-effective</w:t>
      </w:r>
      <w:r w:rsidR="00F13E91" w:rsidRPr="00F13E91">
        <w:rPr>
          <w:lang w:val="en-NZ"/>
        </w:rPr>
        <w:t xml:space="preserve"> solution is sourced. E.g. would adjustable back upholstery meet the clients need versus off the shelf back for this length of time?</w:t>
      </w:r>
    </w:p>
    <w:p w14:paraId="5914D617" w14:textId="77777777" w:rsidR="00C93626" w:rsidRDefault="00C93626" w:rsidP="00C93626">
      <w:pPr>
        <w:rPr>
          <w:lang w:val="en-NZ"/>
        </w:rPr>
      </w:pPr>
    </w:p>
    <w:p w14:paraId="512964AD" w14:textId="77777777" w:rsidR="00C93626" w:rsidRPr="00F13E91" w:rsidRDefault="00C93626" w:rsidP="00C93626">
      <w:pPr>
        <w:rPr>
          <w:lang w:val="en-NZ"/>
        </w:rPr>
      </w:pPr>
    </w:p>
    <w:p w14:paraId="673DF9CB" w14:textId="77777777" w:rsidR="00DF680D" w:rsidRPr="00DF680D" w:rsidRDefault="00DF680D" w:rsidP="00DF680D">
      <w:pPr>
        <w:pStyle w:val="Heading3"/>
        <w:rPr>
          <w:lang w:val="en-NZ"/>
        </w:rPr>
      </w:pPr>
      <w:r w:rsidRPr="00DF680D">
        <w:rPr>
          <w:lang w:val="en-NZ"/>
        </w:rPr>
        <w:t>Consideration of static positioning chair and/or indoor seating systems (e.g. fall out style chairs, lift out chairs)</w:t>
      </w:r>
    </w:p>
    <w:p w14:paraId="4FA4C4C6" w14:textId="240B3C88" w:rsidR="00DF680D" w:rsidRPr="00DF680D" w:rsidRDefault="00DF680D" w:rsidP="00DF680D">
      <w:pPr>
        <w:numPr>
          <w:ilvl w:val="0"/>
          <w:numId w:val="2"/>
        </w:numPr>
        <w:rPr>
          <w:lang w:val="en-NZ"/>
        </w:rPr>
      </w:pPr>
      <w:r w:rsidRPr="00DF680D">
        <w:rPr>
          <w:lang w:val="en-NZ"/>
        </w:rPr>
        <w:t>An indoor chair may be considered a person’s ‘primary’ chair and they receive a</w:t>
      </w:r>
      <w:r w:rsidR="000B5975" w:rsidRPr="000B5975">
        <w:t xml:space="preserve"> </w:t>
      </w:r>
      <w:r w:rsidR="0073019A" w:rsidRPr="0073019A">
        <w:rPr>
          <w:lang w:val="en-NZ"/>
        </w:rPr>
        <w:t>standard backup</w:t>
      </w:r>
      <w:r w:rsidR="000B5975" w:rsidRPr="000B5975">
        <w:rPr>
          <w:lang w:val="en-NZ"/>
        </w:rPr>
        <w:t xml:space="preserve"> MWC </w:t>
      </w:r>
      <w:r w:rsidRPr="00DF680D">
        <w:rPr>
          <w:lang w:val="en-NZ"/>
        </w:rPr>
        <w:t>to access a ‘reasonably parked’ vehicle.</w:t>
      </w:r>
    </w:p>
    <w:p w14:paraId="7F1DCC92" w14:textId="77777777" w:rsidR="00DF680D" w:rsidRPr="00DF680D" w:rsidRDefault="00DF680D" w:rsidP="00DF680D">
      <w:pPr>
        <w:numPr>
          <w:ilvl w:val="0"/>
          <w:numId w:val="2"/>
        </w:numPr>
        <w:rPr>
          <w:lang w:val="en-NZ"/>
        </w:rPr>
      </w:pPr>
      <w:r w:rsidRPr="00DF680D">
        <w:rPr>
          <w:lang w:val="en-NZ"/>
        </w:rPr>
        <w:t>Where a person is unable to be left unsupervised in bed due to their disability related need, or length of time in bed is not practical/reasonable.</w:t>
      </w:r>
    </w:p>
    <w:p w14:paraId="353E0BC7" w14:textId="501640E9" w:rsidR="00DF680D" w:rsidRDefault="00DF680D" w:rsidP="00DF680D">
      <w:pPr>
        <w:numPr>
          <w:ilvl w:val="0"/>
          <w:numId w:val="2"/>
        </w:numPr>
        <w:rPr>
          <w:lang w:val="en-NZ"/>
        </w:rPr>
      </w:pPr>
      <w:r w:rsidRPr="00DF680D">
        <w:rPr>
          <w:lang w:val="en-NZ"/>
        </w:rPr>
        <w:t>People who have limited sitting tolerance due to extremely high tone, where multiple configurations have been tried with the primary seating system and extenuating social circumstances exist.</w:t>
      </w:r>
    </w:p>
    <w:p w14:paraId="00C50AB5" w14:textId="22386FFD" w:rsidR="000B5975" w:rsidRDefault="000B5975" w:rsidP="000B5975">
      <w:pPr>
        <w:ind w:left="838"/>
        <w:rPr>
          <w:lang w:val="en-NZ"/>
        </w:rPr>
      </w:pPr>
    </w:p>
    <w:p w14:paraId="6A2CF328" w14:textId="77777777" w:rsidR="000B5975" w:rsidRPr="00DF680D" w:rsidRDefault="000B5975" w:rsidP="000B5975">
      <w:pPr>
        <w:ind w:left="838"/>
        <w:rPr>
          <w:lang w:val="en-NZ"/>
        </w:rPr>
      </w:pPr>
    </w:p>
    <w:p w14:paraId="2856AC2F" w14:textId="2CD80111" w:rsidR="00DF680D" w:rsidRPr="00DF680D" w:rsidRDefault="00DF680D" w:rsidP="00270088">
      <w:pPr>
        <w:spacing w:before="120"/>
        <w:rPr>
          <w:b/>
          <w:bCs/>
          <w:sz w:val="20"/>
          <w:szCs w:val="20"/>
          <w:lang w:val="en-NZ"/>
        </w:rPr>
      </w:pPr>
      <w:r w:rsidRPr="00DF680D">
        <w:rPr>
          <w:b/>
          <w:bCs/>
          <w:sz w:val="20"/>
          <w:szCs w:val="20"/>
          <w:lang w:val="en-NZ"/>
        </w:rPr>
        <w:lastRenderedPageBreak/>
        <w:t>Before consulting an EMS Advisor</w:t>
      </w:r>
      <w:r w:rsidR="009523FF">
        <w:rPr>
          <w:b/>
          <w:bCs/>
          <w:sz w:val="20"/>
          <w:szCs w:val="20"/>
          <w:lang w:val="en-NZ"/>
        </w:rPr>
        <w:t>, consider</w:t>
      </w:r>
      <w:r w:rsidRPr="00DF680D">
        <w:rPr>
          <w:b/>
          <w:bCs/>
          <w:sz w:val="20"/>
          <w:szCs w:val="20"/>
          <w:lang w:val="en-NZ"/>
        </w:rPr>
        <w:t>:</w:t>
      </w:r>
    </w:p>
    <w:p w14:paraId="20184737" w14:textId="77777777" w:rsidR="00DF680D" w:rsidRPr="00DF680D" w:rsidRDefault="00DF680D" w:rsidP="00DF680D">
      <w:pPr>
        <w:numPr>
          <w:ilvl w:val="0"/>
          <w:numId w:val="2"/>
        </w:numPr>
        <w:rPr>
          <w:lang w:val="en-NZ"/>
        </w:rPr>
      </w:pPr>
      <w:r w:rsidRPr="00DF680D">
        <w:rPr>
          <w:lang w:val="en-NZ"/>
        </w:rPr>
        <w:t>Has the primary wheelchair been reviewed? Can the issues be managed with a change of seating, configuration or wheelchair features?</w:t>
      </w:r>
    </w:p>
    <w:p w14:paraId="5E70CF09" w14:textId="1BFA3C91" w:rsidR="00DF680D" w:rsidRPr="00DF680D" w:rsidRDefault="00DF680D" w:rsidP="00DF680D">
      <w:pPr>
        <w:numPr>
          <w:ilvl w:val="0"/>
          <w:numId w:val="2"/>
        </w:numPr>
        <w:rPr>
          <w:lang w:val="en-NZ"/>
        </w:rPr>
      </w:pPr>
      <w:r w:rsidRPr="00DF680D">
        <w:rPr>
          <w:lang w:val="en-NZ"/>
        </w:rPr>
        <w:t>Is there furniture already available in the home that may meet the need? (</w:t>
      </w:r>
      <w:r w:rsidR="00CC2D8A">
        <w:rPr>
          <w:lang w:val="en-NZ"/>
        </w:rPr>
        <w:t>e</w:t>
      </w:r>
      <w:r w:rsidRPr="00DF680D">
        <w:rPr>
          <w:lang w:val="en-NZ"/>
        </w:rPr>
        <w:t xml:space="preserve">.g. standard lazy boy style chair), this may be complemented with the use of a cushion (e.g. Roho transferred from </w:t>
      </w:r>
      <w:r w:rsidR="0073019A">
        <w:rPr>
          <w:lang w:val="en-NZ"/>
        </w:rPr>
        <w:t>MWC</w:t>
      </w:r>
      <w:r w:rsidRPr="00DF680D">
        <w:rPr>
          <w:lang w:val="en-NZ"/>
        </w:rPr>
        <w:t>) or by use of lying supports.</w:t>
      </w:r>
    </w:p>
    <w:p w14:paraId="28C3861B" w14:textId="37AA06AA" w:rsidR="00DF680D" w:rsidRPr="00DF680D" w:rsidRDefault="00DF680D" w:rsidP="00DF680D">
      <w:pPr>
        <w:numPr>
          <w:ilvl w:val="0"/>
          <w:numId w:val="2"/>
        </w:numPr>
        <w:rPr>
          <w:lang w:val="en-NZ"/>
        </w:rPr>
      </w:pPr>
      <w:r w:rsidRPr="00DF680D">
        <w:rPr>
          <w:lang w:val="en-NZ"/>
        </w:rPr>
        <w:t>Can the person spend some time on their bed</w:t>
      </w:r>
      <w:r w:rsidR="000B5975">
        <w:rPr>
          <w:lang w:val="en-NZ"/>
        </w:rPr>
        <w:t xml:space="preserve"> as an alternative position</w:t>
      </w:r>
      <w:r w:rsidR="004874FD">
        <w:rPr>
          <w:lang w:val="en-NZ"/>
        </w:rPr>
        <w:t>?</w:t>
      </w:r>
    </w:p>
    <w:p w14:paraId="43F9042C" w14:textId="750CEEAA" w:rsidR="00DF680D" w:rsidRPr="00DF680D" w:rsidRDefault="00DF680D" w:rsidP="00DF680D">
      <w:pPr>
        <w:numPr>
          <w:ilvl w:val="0"/>
          <w:numId w:val="2"/>
        </w:numPr>
        <w:rPr>
          <w:lang w:val="en-NZ"/>
        </w:rPr>
      </w:pPr>
      <w:r w:rsidRPr="00DF680D">
        <w:rPr>
          <w:lang w:val="en-NZ"/>
        </w:rPr>
        <w:t>If a person is needing to spend a significant amount of time in bed for management of a pressure injury, can the bed be moved to allow for the person to be part of daily life</w:t>
      </w:r>
      <w:r w:rsidR="00270088">
        <w:rPr>
          <w:lang w:val="en-NZ"/>
        </w:rPr>
        <w:t xml:space="preserve"> </w:t>
      </w:r>
      <w:r w:rsidR="00F4721F">
        <w:rPr>
          <w:lang w:val="en-NZ"/>
        </w:rPr>
        <w:t>(</w:t>
      </w:r>
      <w:r w:rsidRPr="00DF680D">
        <w:rPr>
          <w:lang w:val="en-NZ"/>
        </w:rPr>
        <w:t xml:space="preserve">e.g. in the </w:t>
      </w:r>
      <w:r w:rsidR="000B5975">
        <w:rPr>
          <w:lang w:val="en-NZ"/>
        </w:rPr>
        <w:t>main living area</w:t>
      </w:r>
      <w:r w:rsidR="00F4721F">
        <w:rPr>
          <w:lang w:val="en-NZ"/>
        </w:rPr>
        <w:t>)</w:t>
      </w:r>
    </w:p>
    <w:p w14:paraId="4321E0BA" w14:textId="77777777" w:rsidR="00DF680D" w:rsidRPr="00DF680D" w:rsidRDefault="00DF680D" w:rsidP="00DF680D">
      <w:pPr>
        <w:rPr>
          <w:lang w:val="en-NZ"/>
        </w:rPr>
      </w:pPr>
    </w:p>
    <w:p w14:paraId="3B9F9FDE" w14:textId="3E2D9903" w:rsidR="00DF680D" w:rsidRDefault="00DF680D" w:rsidP="00DF680D">
      <w:pPr>
        <w:rPr>
          <w:lang w:val="en-NZ"/>
        </w:rPr>
      </w:pPr>
    </w:p>
    <w:p w14:paraId="0157B397" w14:textId="71D44684" w:rsidR="00201D4C" w:rsidRPr="00201D4C" w:rsidRDefault="00201D4C" w:rsidP="009523FF">
      <w:pPr>
        <w:pStyle w:val="Heading3"/>
        <w:rPr>
          <w:lang w:val="en-NZ"/>
        </w:rPr>
      </w:pPr>
      <w:r w:rsidRPr="00201D4C">
        <w:rPr>
          <w:lang w:val="en-NZ"/>
        </w:rPr>
        <w:t xml:space="preserve">Consideration of high low bases/ feeding chairs where a </w:t>
      </w:r>
      <w:r w:rsidR="00240106">
        <w:rPr>
          <w:lang w:val="en-NZ"/>
        </w:rPr>
        <w:t>MWC</w:t>
      </w:r>
      <w:r w:rsidRPr="00201D4C">
        <w:rPr>
          <w:lang w:val="en-NZ"/>
        </w:rPr>
        <w:t xml:space="preserve"> is in place </w:t>
      </w:r>
    </w:p>
    <w:p w14:paraId="0FC2B98C" w14:textId="542E70BF" w:rsidR="00201D4C" w:rsidRPr="00201D4C" w:rsidRDefault="00201D4C" w:rsidP="00201D4C">
      <w:pPr>
        <w:rPr>
          <w:lang w:val="en-NZ"/>
        </w:rPr>
      </w:pPr>
      <w:r w:rsidRPr="00201D4C">
        <w:rPr>
          <w:i/>
          <w:lang w:val="en-NZ"/>
        </w:rPr>
        <w:t xml:space="preserve">‘Generally, only </w:t>
      </w:r>
      <w:r w:rsidRPr="00201D4C">
        <w:rPr>
          <w:lang w:val="en-NZ"/>
        </w:rPr>
        <w:t>one option</w:t>
      </w:r>
      <w:r w:rsidRPr="00201D4C">
        <w:rPr>
          <w:b/>
          <w:i/>
          <w:lang w:val="en-NZ"/>
        </w:rPr>
        <w:t xml:space="preserve"> </w:t>
      </w:r>
      <w:r w:rsidRPr="00201D4C">
        <w:rPr>
          <w:i/>
          <w:lang w:val="en-NZ"/>
        </w:rPr>
        <w:t xml:space="preserve">to enable a person to  sit  safely  and  comfortably  is  provided. Consideration may be given for a dedicated seating option to enable a person to eat and drink safely if these activities </w:t>
      </w:r>
      <w:r w:rsidRPr="00201D4C">
        <w:rPr>
          <w:b/>
          <w:i/>
          <w:lang w:val="en-NZ"/>
        </w:rPr>
        <w:t>are not possible within their everyday seating.’</w:t>
      </w:r>
      <w:r w:rsidRPr="00201D4C">
        <w:rPr>
          <w:i/>
          <w:lang w:val="en-NZ"/>
        </w:rPr>
        <w:t xml:space="preserve"> </w:t>
      </w:r>
      <w:r w:rsidRPr="00201D4C">
        <w:rPr>
          <w:lang w:val="en-NZ"/>
        </w:rPr>
        <w:t>(E</w:t>
      </w:r>
      <w:r w:rsidR="00240106">
        <w:rPr>
          <w:lang w:val="en-NZ"/>
        </w:rPr>
        <w:t>MS</w:t>
      </w:r>
      <w:r w:rsidRPr="00201D4C">
        <w:rPr>
          <w:lang w:val="en-NZ"/>
        </w:rPr>
        <w:t xml:space="preserve"> Manual, 2014, 11.5.10).</w:t>
      </w:r>
    </w:p>
    <w:p w14:paraId="1F645EB2" w14:textId="3C54ECBA" w:rsidR="00201D4C" w:rsidRPr="00201D4C" w:rsidRDefault="00201D4C" w:rsidP="009523FF">
      <w:pPr>
        <w:numPr>
          <w:ilvl w:val="0"/>
          <w:numId w:val="2"/>
        </w:numPr>
        <w:spacing w:before="120"/>
        <w:ind w:left="833" w:hanging="357"/>
        <w:rPr>
          <w:lang w:val="en-NZ"/>
        </w:rPr>
      </w:pPr>
      <w:r w:rsidRPr="00201D4C">
        <w:rPr>
          <w:lang w:val="en-NZ"/>
        </w:rPr>
        <w:t>Some buggies have the option of an indoor high/low base.</w:t>
      </w:r>
    </w:p>
    <w:p w14:paraId="6891A4C9" w14:textId="6CC0DF29" w:rsidR="00201D4C" w:rsidRPr="00201D4C" w:rsidRDefault="00201D4C" w:rsidP="00201D4C">
      <w:pPr>
        <w:numPr>
          <w:ilvl w:val="0"/>
          <w:numId w:val="2"/>
        </w:numPr>
        <w:rPr>
          <w:lang w:val="en-NZ"/>
        </w:rPr>
      </w:pPr>
      <w:r w:rsidRPr="00201D4C">
        <w:rPr>
          <w:lang w:val="en-NZ"/>
        </w:rPr>
        <w:t>Once the child reaches school age and</w:t>
      </w:r>
      <w:r w:rsidR="003D7DD7">
        <w:rPr>
          <w:lang w:val="en-NZ"/>
        </w:rPr>
        <w:t>/</w:t>
      </w:r>
      <w:r w:rsidRPr="00201D4C">
        <w:rPr>
          <w:lang w:val="en-NZ"/>
        </w:rPr>
        <w:t xml:space="preserve">or a </w:t>
      </w:r>
      <w:r w:rsidR="00240106">
        <w:rPr>
          <w:lang w:val="en-NZ"/>
        </w:rPr>
        <w:t>MWC</w:t>
      </w:r>
      <w:r w:rsidRPr="00201D4C">
        <w:rPr>
          <w:lang w:val="en-NZ"/>
        </w:rPr>
        <w:t xml:space="preserve"> is provided there is an expectation that the</w:t>
      </w:r>
      <w:r w:rsidR="00240106">
        <w:rPr>
          <w:lang w:val="en-NZ"/>
        </w:rPr>
        <w:t xml:space="preserve"> MWC </w:t>
      </w:r>
      <w:r w:rsidRPr="00201D4C">
        <w:rPr>
          <w:lang w:val="en-NZ"/>
        </w:rPr>
        <w:t>would be used for indoor mobility and this would provide positioning for feeding.</w:t>
      </w:r>
    </w:p>
    <w:p w14:paraId="366B8FDB" w14:textId="77777777" w:rsidR="00201D4C" w:rsidRPr="00201D4C" w:rsidRDefault="00201D4C" w:rsidP="00201D4C">
      <w:pPr>
        <w:rPr>
          <w:lang w:val="en-NZ"/>
        </w:rPr>
      </w:pPr>
    </w:p>
    <w:p w14:paraId="577AA06B" w14:textId="5EE66DA8" w:rsidR="00201D4C" w:rsidRPr="00201D4C" w:rsidRDefault="00201D4C" w:rsidP="00201D4C">
      <w:pPr>
        <w:rPr>
          <w:b/>
          <w:bCs/>
          <w:lang w:val="en-NZ"/>
        </w:rPr>
      </w:pPr>
      <w:r w:rsidRPr="00201D4C">
        <w:rPr>
          <w:b/>
          <w:bCs/>
          <w:lang w:val="en-NZ"/>
        </w:rPr>
        <w:t>Before consulting an EMS Advisor</w:t>
      </w:r>
      <w:r w:rsidR="009523FF">
        <w:rPr>
          <w:b/>
          <w:bCs/>
          <w:lang w:val="en-NZ"/>
        </w:rPr>
        <w:t>,</w:t>
      </w:r>
      <w:r w:rsidRPr="00201D4C">
        <w:rPr>
          <w:b/>
          <w:bCs/>
          <w:lang w:val="en-NZ"/>
        </w:rPr>
        <w:t xml:space="preserve"> conside</w:t>
      </w:r>
      <w:r w:rsidR="009523FF">
        <w:rPr>
          <w:b/>
          <w:bCs/>
          <w:lang w:val="en-NZ"/>
        </w:rPr>
        <w:t>r</w:t>
      </w:r>
      <w:r w:rsidRPr="00201D4C">
        <w:rPr>
          <w:b/>
          <w:bCs/>
          <w:lang w:val="en-NZ"/>
        </w:rPr>
        <w:t>:</w:t>
      </w:r>
    </w:p>
    <w:p w14:paraId="16691D3D" w14:textId="069FDBCC" w:rsidR="00201D4C" w:rsidRPr="00201D4C" w:rsidRDefault="00201D4C" w:rsidP="00201D4C">
      <w:pPr>
        <w:numPr>
          <w:ilvl w:val="0"/>
          <w:numId w:val="2"/>
        </w:numPr>
        <w:rPr>
          <w:bCs/>
          <w:lang w:val="en-NZ"/>
        </w:rPr>
      </w:pPr>
      <w:r w:rsidRPr="00201D4C">
        <w:rPr>
          <w:bCs/>
          <w:lang w:val="en-NZ"/>
        </w:rPr>
        <w:t xml:space="preserve">Configuration of the </w:t>
      </w:r>
      <w:r w:rsidR="00240106">
        <w:rPr>
          <w:bCs/>
          <w:lang w:val="en-NZ"/>
        </w:rPr>
        <w:t>MWC</w:t>
      </w:r>
      <w:r w:rsidRPr="00201D4C">
        <w:rPr>
          <w:bCs/>
          <w:lang w:val="en-NZ"/>
        </w:rPr>
        <w:t xml:space="preserve"> to ensure optimal positioning for feeding </w:t>
      </w:r>
    </w:p>
    <w:p w14:paraId="59936402" w14:textId="5EB8CB60" w:rsidR="00201D4C" w:rsidRPr="00201D4C" w:rsidRDefault="00201D4C" w:rsidP="00201D4C">
      <w:pPr>
        <w:numPr>
          <w:ilvl w:val="0"/>
          <w:numId w:val="2"/>
        </w:numPr>
        <w:rPr>
          <w:bCs/>
          <w:lang w:val="en-NZ"/>
        </w:rPr>
      </w:pPr>
      <w:r w:rsidRPr="00201D4C">
        <w:rPr>
          <w:bCs/>
          <w:lang w:val="en-NZ"/>
        </w:rPr>
        <w:t xml:space="preserve">Transport to/from and access into the home to ensure the </w:t>
      </w:r>
      <w:r w:rsidR="00240106">
        <w:rPr>
          <w:bCs/>
          <w:lang w:val="en-NZ"/>
        </w:rPr>
        <w:t>MWC</w:t>
      </w:r>
      <w:r w:rsidRPr="00201D4C">
        <w:rPr>
          <w:bCs/>
          <w:lang w:val="en-NZ"/>
        </w:rPr>
        <w:t xml:space="preserve"> can be used inside </w:t>
      </w:r>
    </w:p>
    <w:p w14:paraId="23E160F0" w14:textId="06C767E2" w:rsidR="00201D4C" w:rsidRPr="00201D4C" w:rsidRDefault="00201D4C" w:rsidP="00201D4C">
      <w:pPr>
        <w:numPr>
          <w:ilvl w:val="0"/>
          <w:numId w:val="2"/>
        </w:numPr>
        <w:rPr>
          <w:bCs/>
          <w:lang w:val="en-NZ"/>
        </w:rPr>
      </w:pPr>
      <w:r w:rsidRPr="00201D4C">
        <w:rPr>
          <w:bCs/>
          <w:lang w:val="en-NZ"/>
        </w:rPr>
        <w:t>Transfers between the two seating systems and how this will be managed</w:t>
      </w:r>
    </w:p>
    <w:p w14:paraId="5187E2B2" w14:textId="0889A069" w:rsidR="00201D4C" w:rsidRPr="003D7DD7" w:rsidRDefault="00201D4C" w:rsidP="00201D4C">
      <w:pPr>
        <w:numPr>
          <w:ilvl w:val="0"/>
          <w:numId w:val="2"/>
        </w:numPr>
        <w:rPr>
          <w:bCs/>
          <w:lang w:val="en-NZ"/>
        </w:rPr>
      </w:pPr>
      <w:r w:rsidRPr="003D7DD7">
        <w:rPr>
          <w:bCs/>
          <w:lang w:val="en-NZ"/>
        </w:rPr>
        <w:t xml:space="preserve">The time spent in the second seating solution and the impact this will have on positioning needs </w:t>
      </w:r>
    </w:p>
    <w:tbl>
      <w:tblPr>
        <w:tblStyle w:val="TableGrid"/>
        <w:tblW w:w="0" w:type="auto"/>
        <w:tblInd w:w="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8908"/>
      </w:tblGrid>
      <w:tr w:rsidR="00201D4C" w:rsidRPr="00201D4C" w14:paraId="3B4377D7" w14:textId="77777777" w:rsidTr="000D0034">
        <w:tc>
          <w:tcPr>
            <w:tcW w:w="9300" w:type="dxa"/>
            <w:shd w:val="clear" w:color="auto" w:fill="D9D9D9" w:themeFill="background1" w:themeFillShade="D9"/>
          </w:tcPr>
          <w:p w14:paraId="6510AF1D" w14:textId="3AA0D303" w:rsidR="00201D4C" w:rsidRPr="00201D4C" w:rsidRDefault="00201D4C" w:rsidP="00172607">
            <w:pPr>
              <w:spacing w:before="240" w:line="264" w:lineRule="auto"/>
              <w:ind w:left="187" w:right="113"/>
            </w:pPr>
            <w:r w:rsidRPr="00201D4C">
              <w:t xml:space="preserve">Requests for advice </w:t>
            </w:r>
            <w:r w:rsidR="00850AC7">
              <w:t>are</w:t>
            </w:r>
            <w:r w:rsidR="00850AC7" w:rsidRPr="00002606">
              <w:t xml:space="preserve"> </w:t>
            </w:r>
            <w:r w:rsidR="00850AC7">
              <w:t xml:space="preserve">all </w:t>
            </w:r>
            <w:r w:rsidR="00850AC7" w:rsidRPr="00002606">
              <w:t>reviewed on a</w:t>
            </w:r>
            <w:r w:rsidR="00850AC7">
              <w:t>n individual,</w:t>
            </w:r>
            <w:r w:rsidR="00850AC7" w:rsidRPr="00002606">
              <w:t xml:space="preserve"> case by case basis.</w:t>
            </w:r>
            <w:r w:rsidRPr="00201D4C">
              <w:t xml:space="preserve">  Genuine and exceptional circumstances need to exist for </w:t>
            </w:r>
            <w:r w:rsidR="000B5975">
              <w:t xml:space="preserve">any </w:t>
            </w:r>
            <w:r w:rsidRPr="00201D4C">
              <w:t xml:space="preserve">second seating to be considered. </w:t>
            </w:r>
          </w:p>
          <w:p w14:paraId="4C1ACD51" w14:textId="7BE2FC7A" w:rsidR="00201D4C" w:rsidRPr="00201D4C" w:rsidRDefault="00201D4C" w:rsidP="00172607">
            <w:pPr>
              <w:spacing w:before="148" w:after="240" w:line="264" w:lineRule="auto"/>
              <w:ind w:left="187" w:right="113"/>
              <w:rPr>
                <w:lang w:val="en-NZ"/>
              </w:rPr>
            </w:pPr>
            <w:r w:rsidRPr="00201D4C">
              <w:t xml:space="preserve">Cost effective equipment need to be considered in the first instance. This includes refurbished equipment or a band 1 </w:t>
            </w:r>
            <w:r w:rsidR="00240106">
              <w:t xml:space="preserve">or 2 </w:t>
            </w:r>
            <w:r w:rsidR="004874FD">
              <w:t>MWC</w:t>
            </w:r>
            <w:r w:rsidR="00240106">
              <w:t>,</w:t>
            </w:r>
            <w:r w:rsidR="004874FD">
              <w:t xml:space="preserve"> seating or equipment solution</w:t>
            </w:r>
            <w:r w:rsidR="00D30382" w:rsidRPr="009523FF">
              <w:t xml:space="preserve"> </w:t>
            </w:r>
            <w:r w:rsidRPr="00201D4C">
              <w:t>(E</w:t>
            </w:r>
            <w:r w:rsidR="00240106">
              <w:t>MS</w:t>
            </w:r>
            <w:r w:rsidRPr="00201D4C">
              <w:t xml:space="preserve"> Manual, 2014, 2.1)</w:t>
            </w:r>
            <w:r w:rsidR="00D30382" w:rsidRPr="009523FF">
              <w:t>.</w:t>
            </w:r>
            <w:r w:rsidRPr="00201D4C">
              <w:t xml:space="preserve"> This might result in a refurbished solution similar to</w:t>
            </w:r>
            <w:r w:rsidR="00D275D8">
              <w:t xml:space="preserve"> the chair or base that </w:t>
            </w:r>
            <w:r w:rsidRPr="00201D4C">
              <w:t xml:space="preserve"> was requested</w:t>
            </w:r>
            <w:r w:rsidR="009523FF">
              <w:t>.</w:t>
            </w:r>
          </w:p>
        </w:tc>
      </w:tr>
    </w:tbl>
    <w:p w14:paraId="7653EAFE" w14:textId="77777777" w:rsidR="00201D4C" w:rsidRPr="00DF680D" w:rsidRDefault="00201D4C" w:rsidP="0073019A">
      <w:pPr>
        <w:rPr>
          <w:lang w:val="en-NZ"/>
        </w:rPr>
      </w:pPr>
    </w:p>
    <w:sectPr w:rsidR="00201D4C" w:rsidRPr="00DF680D" w:rsidSect="004C68B1">
      <w:headerReference w:type="default" r:id="rId12"/>
      <w:footerReference w:type="default" r:id="rId13"/>
      <w:footerReference w:type="first" r:id="rId14"/>
      <w:pgSz w:w="11906" w:h="16838"/>
      <w:pgMar w:top="1440" w:right="1440" w:bottom="1440" w:left="1440" w:header="0" w:footer="794" w:gutter="0"/>
      <w:pgNumType w:start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B98AED" w14:textId="77777777" w:rsidR="00BB0985" w:rsidRDefault="00BB0985" w:rsidP="00D32BD3">
      <w:r>
        <w:separator/>
      </w:r>
    </w:p>
  </w:endnote>
  <w:endnote w:type="continuationSeparator" w:id="0">
    <w:p w14:paraId="49ECB0B8" w14:textId="77777777" w:rsidR="00BB0985" w:rsidRDefault="00BB0985" w:rsidP="00D32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re Franklin">
    <w:altName w:val="Calibri"/>
    <w:charset w:val="00"/>
    <w:family w:val="auto"/>
    <w:pitch w:val="variable"/>
    <w:sig w:usb0="20000007" w:usb1="00000000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A957E" w14:textId="18203C27" w:rsidR="00F0532C" w:rsidRPr="004C68B1" w:rsidRDefault="004C68B1" w:rsidP="004C68B1">
    <w:pPr>
      <w:tabs>
        <w:tab w:val="center" w:pos="4678"/>
        <w:tab w:val="right" w:pos="8931"/>
      </w:tabs>
      <w:spacing w:before="15"/>
      <w:ind w:left="-142"/>
      <w:rPr>
        <w:sz w:val="16"/>
      </w:rPr>
    </w:pPr>
    <w:r>
      <w:rPr>
        <w:sz w:val="16"/>
      </w:rPr>
      <w:t xml:space="preserve">Date: </w:t>
    </w:r>
    <w:r w:rsidR="00850AC7">
      <w:rPr>
        <w:sz w:val="16"/>
      </w:rPr>
      <w:t>13</w:t>
    </w:r>
    <w:r>
      <w:rPr>
        <w:sz w:val="16"/>
      </w:rPr>
      <w:t>/</w:t>
    </w:r>
    <w:r w:rsidR="00850AC7">
      <w:rPr>
        <w:sz w:val="16"/>
      </w:rPr>
      <w:t>1</w:t>
    </w:r>
    <w:r>
      <w:rPr>
        <w:sz w:val="16"/>
      </w:rPr>
      <w:t>/20</w:t>
    </w:r>
    <w:r w:rsidR="00850AC7">
      <w:rPr>
        <w:sz w:val="16"/>
      </w:rPr>
      <w:t>21              Guideline for second mobility/seating: MOH access criteria</w:t>
    </w:r>
    <w:r>
      <w:rPr>
        <w:sz w:val="16"/>
      </w:rPr>
      <w:tab/>
      <w:t>© Enable New Zealand</w:t>
    </w:r>
    <w:r w:rsidR="00807EB3">
      <w:tab/>
    </w:r>
    <w:r>
      <w:rPr>
        <w:sz w:val="16"/>
      </w:rPr>
      <w:t xml:space="preserve">Page </w:t>
    </w:r>
    <w:r>
      <w:fldChar w:fldCharType="begin"/>
    </w:r>
    <w:r>
      <w:rPr>
        <w:b/>
        <w:sz w:val="16"/>
      </w:rPr>
      <w:instrText xml:space="preserve"> PAGE </w:instrText>
    </w:r>
    <w:r>
      <w:fldChar w:fldCharType="separate"/>
    </w:r>
    <w:r>
      <w:t>5</w:t>
    </w:r>
    <w:r>
      <w:fldChar w:fldCharType="end"/>
    </w:r>
    <w:r>
      <w:rPr>
        <w:b/>
        <w:sz w:val="16"/>
      </w:rPr>
      <w:t xml:space="preserve"> </w:t>
    </w:r>
    <w:r>
      <w:rPr>
        <w:sz w:val="16"/>
      </w:rPr>
      <w:t xml:space="preserve">of </w:t>
    </w:r>
    <w:r>
      <w:rPr>
        <w:b/>
        <w:sz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C00F7" w14:textId="77777777" w:rsidR="00266325" w:rsidRDefault="00A22FC3" w:rsidP="00807EB3">
    <w:pPr>
      <w:pStyle w:val="Footer"/>
      <w:tabs>
        <w:tab w:val="clear" w:pos="4513"/>
        <w:tab w:val="center" w:pos="4253"/>
      </w:tabs>
    </w:pPr>
    <w:r w:rsidRPr="00587830">
      <w:rPr>
        <w:rFonts w:ascii="Arial" w:eastAsia="Arial" w:hAnsi="Arial" w:cs="Arial"/>
        <w:noProof/>
        <w:sz w:val="22"/>
        <w:szCs w:val="22"/>
        <w:lang w:val="en-NZ"/>
      </w:rPr>
      <w:drawing>
        <wp:anchor distT="0" distB="0" distL="0" distR="0" simplePos="0" relativeHeight="251661312" behindDoc="1" locked="0" layoutInCell="1" hidden="0" allowOverlap="1" wp14:anchorId="6500C574" wp14:editId="69A3E4A8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553960" cy="1328420"/>
          <wp:effectExtent l="0" t="0" r="0" b="5080"/>
          <wp:wrapSquare wrapText="bothSides"/>
          <wp:docPr id="24" name="image3.g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gif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3960" cy="13284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0DF979" w14:textId="77777777" w:rsidR="00BB0985" w:rsidRDefault="00BB0985" w:rsidP="00D32BD3">
      <w:r>
        <w:separator/>
      </w:r>
    </w:p>
  </w:footnote>
  <w:footnote w:type="continuationSeparator" w:id="0">
    <w:p w14:paraId="70E0583B" w14:textId="77777777" w:rsidR="00BB0985" w:rsidRDefault="00BB0985" w:rsidP="00D32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89EA4" w14:textId="77777777" w:rsidR="00F22AC0" w:rsidRDefault="00F22AC0" w:rsidP="00D32BD3">
    <w:r>
      <w:rPr>
        <w:noProof/>
      </w:rPr>
      <w:drawing>
        <wp:anchor distT="0" distB="0" distL="0" distR="0" simplePos="0" relativeHeight="251658240" behindDoc="0" locked="0" layoutInCell="1" hidden="0" allowOverlap="1" wp14:anchorId="5A558792" wp14:editId="1E3EC787">
          <wp:simplePos x="0" y="0"/>
          <wp:positionH relativeFrom="page">
            <wp:posOffset>5419725</wp:posOffset>
          </wp:positionH>
          <wp:positionV relativeFrom="paragraph">
            <wp:posOffset>0</wp:posOffset>
          </wp:positionV>
          <wp:extent cx="2202396" cy="1071880"/>
          <wp:effectExtent l="0" t="0" r="7620" b="0"/>
          <wp:wrapSquare wrapText="bothSides" distT="0" distB="0" distL="0" distR="0"/>
          <wp:docPr id="1" name="image1.g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gif"/>
                  <pic:cNvPicPr preferRelativeResize="0"/>
                </pic:nvPicPr>
                <pic:blipFill rotWithShape="1">
                  <a:blip r:embed="rId1"/>
                  <a:srcRect l="39977" t="766" b="43672"/>
                  <a:stretch/>
                </pic:blipFill>
                <pic:spPr bwMode="auto">
                  <a:xfrm>
                    <a:off x="0" y="0"/>
                    <a:ext cx="2202756" cy="10720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B4AC57C" w14:textId="77777777" w:rsidR="00F22AC0" w:rsidRDefault="00F22AC0" w:rsidP="00D32BD3"/>
  <w:p w14:paraId="33D39643" w14:textId="77777777" w:rsidR="00F0532C" w:rsidRDefault="00F0532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13D0D"/>
    <w:multiLevelType w:val="hybridMultilevel"/>
    <w:tmpl w:val="FFFFFFFF"/>
    <w:lvl w:ilvl="0" w:tplc="98800802">
      <w:numFmt w:val="bullet"/>
      <w:lvlText w:val=""/>
      <w:lvlJc w:val="left"/>
      <w:pPr>
        <w:ind w:left="838" w:hanging="360"/>
      </w:pPr>
      <w:rPr>
        <w:rFonts w:ascii="Symbol" w:eastAsia="Symbol" w:hAnsi="Symbol" w:cs="Symbol" w:hint="default"/>
        <w:w w:val="100"/>
        <w:sz w:val="22"/>
        <w:szCs w:val="22"/>
        <w:lang w:val="en-NZ" w:eastAsia="en-US" w:bidi="ar-SA"/>
      </w:rPr>
    </w:lvl>
    <w:lvl w:ilvl="1" w:tplc="94FAA52A">
      <w:numFmt w:val="bullet"/>
      <w:lvlText w:val="•"/>
      <w:lvlJc w:val="left"/>
      <w:pPr>
        <w:ind w:left="1686" w:hanging="360"/>
      </w:pPr>
      <w:rPr>
        <w:rFonts w:hint="default"/>
        <w:lang w:val="en-NZ" w:eastAsia="en-US" w:bidi="ar-SA"/>
      </w:rPr>
    </w:lvl>
    <w:lvl w:ilvl="2" w:tplc="D7741B6C">
      <w:numFmt w:val="bullet"/>
      <w:lvlText w:val="•"/>
      <w:lvlJc w:val="left"/>
      <w:pPr>
        <w:ind w:left="2533" w:hanging="360"/>
      </w:pPr>
      <w:rPr>
        <w:rFonts w:hint="default"/>
        <w:lang w:val="en-NZ" w:eastAsia="en-US" w:bidi="ar-SA"/>
      </w:rPr>
    </w:lvl>
    <w:lvl w:ilvl="3" w:tplc="48A8B222">
      <w:numFmt w:val="bullet"/>
      <w:lvlText w:val="•"/>
      <w:lvlJc w:val="left"/>
      <w:pPr>
        <w:ind w:left="3379" w:hanging="360"/>
      </w:pPr>
      <w:rPr>
        <w:rFonts w:hint="default"/>
        <w:lang w:val="en-NZ" w:eastAsia="en-US" w:bidi="ar-SA"/>
      </w:rPr>
    </w:lvl>
    <w:lvl w:ilvl="4" w:tplc="6584DE4A">
      <w:numFmt w:val="bullet"/>
      <w:lvlText w:val="•"/>
      <w:lvlJc w:val="left"/>
      <w:pPr>
        <w:ind w:left="4226" w:hanging="360"/>
      </w:pPr>
      <w:rPr>
        <w:rFonts w:hint="default"/>
        <w:lang w:val="en-NZ" w:eastAsia="en-US" w:bidi="ar-SA"/>
      </w:rPr>
    </w:lvl>
    <w:lvl w:ilvl="5" w:tplc="5ED0E34A">
      <w:numFmt w:val="bullet"/>
      <w:lvlText w:val="•"/>
      <w:lvlJc w:val="left"/>
      <w:pPr>
        <w:ind w:left="5073" w:hanging="360"/>
      </w:pPr>
      <w:rPr>
        <w:rFonts w:hint="default"/>
        <w:lang w:val="en-NZ" w:eastAsia="en-US" w:bidi="ar-SA"/>
      </w:rPr>
    </w:lvl>
    <w:lvl w:ilvl="6" w:tplc="53068A02">
      <w:numFmt w:val="bullet"/>
      <w:lvlText w:val="•"/>
      <w:lvlJc w:val="left"/>
      <w:pPr>
        <w:ind w:left="5919" w:hanging="360"/>
      </w:pPr>
      <w:rPr>
        <w:rFonts w:hint="default"/>
        <w:lang w:val="en-NZ" w:eastAsia="en-US" w:bidi="ar-SA"/>
      </w:rPr>
    </w:lvl>
    <w:lvl w:ilvl="7" w:tplc="102A6582">
      <w:numFmt w:val="bullet"/>
      <w:lvlText w:val="•"/>
      <w:lvlJc w:val="left"/>
      <w:pPr>
        <w:ind w:left="6766" w:hanging="360"/>
      </w:pPr>
      <w:rPr>
        <w:rFonts w:hint="default"/>
        <w:lang w:val="en-NZ" w:eastAsia="en-US" w:bidi="ar-SA"/>
      </w:rPr>
    </w:lvl>
    <w:lvl w:ilvl="8" w:tplc="A260C5D6">
      <w:numFmt w:val="bullet"/>
      <w:lvlText w:val="•"/>
      <w:lvlJc w:val="left"/>
      <w:pPr>
        <w:ind w:left="7613" w:hanging="360"/>
      </w:pPr>
      <w:rPr>
        <w:rFonts w:hint="default"/>
        <w:lang w:val="en-NZ" w:eastAsia="en-US" w:bidi="ar-SA"/>
      </w:rPr>
    </w:lvl>
  </w:abstractNum>
  <w:abstractNum w:abstractNumId="1" w15:restartNumberingAfterBreak="0">
    <w:nsid w:val="15797F08"/>
    <w:multiLevelType w:val="hybridMultilevel"/>
    <w:tmpl w:val="7A547484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D5F4160"/>
    <w:multiLevelType w:val="hybridMultilevel"/>
    <w:tmpl w:val="66202FA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8C02E8"/>
    <w:multiLevelType w:val="hybridMultilevel"/>
    <w:tmpl w:val="4CC6C8F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FC3"/>
    <w:rsid w:val="0001586F"/>
    <w:rsid w:val="000217CF"/>
    <w:rsid w:val="000358F1"/>
    <w:rsid w:val="00041FB4"/>
    <w:rsid w:val="0007268F"/>
    <w:rsid w:val="000B5975"/>
    <w:rsid w:val="000C3968"/>
    <w:rsid w:val="000D0034"/>
    <w:rsid w:val="000E6C5D"/>
    <w:rsid w:val="0012751F"/>
    <w:rsid w:val="00133BD6"/>
    <w:rsid w:val="00172607"/>
    <w:rsid w:val="00177C80"/>
    <w:rsid w:val="001A1F07"/>
    <w:rsid w:val="001D19CB"/>
    <w:rsid w:val="00201D4C"/>
    <w:rsid w:val="00220C10"/>
    <w:rsid w:val="0023571F"/>
    <w:rsid w:val="00240106"/>
    <w:rsid w:val="00266109"/>
    <w:rsid w:val="00266325"/>
    <w:rsid w:val="00270088"/>
    <w:rsid w:val="002740BD"/>
    <w:rsid w:val="002B7453"/>
    <w:rsid w:val="002D0A65"/>
    <w:rsid w:val="003031FC"/>
    <w:rsid w:val="00312284"/>
    <w:rsid w:val="00320825"/>
    <w:rsid w:val="00337C82"/>
    <w:rsid w:val="00361752"/>
    <w:rsid w:val="00386599"/>
    <w:rsid w:val="003A2B37"/>
    <w:rsid w:val="003C1E73"/>
    <w:rsid w:val="003D7DD7"/>
    <w:rsid w:val="00410703"/>
    <w:rsid w:val="00414A1A"/>
    <w:rsid w:val="00444A07"/>
    <w:rsid w:val="0046332F"/>
    <w:rsid w:val="0046677C"/>
    <w:rsid w:val="004872B8"/>
    <w:rsid w:val="004874FD"/>
    <w:rsid w:val="004C68B1"/>
    <w:rsid w:val="005B544A"/>
    <w:rsid w:val="005B6029"/>
    <w:rsid w:val="005C6175"/>
    <w:rsid w:val="006029C8"/>
    <w:rsid w:val="006143D7"/>
    <w:rsid w:val="0073019A"/>
    <w:rsid w:val="00736CCE"/>
    <w:rsid w:val="00771C10"/>
    <w:rsid w:val="00795971"/>
    <w:rsid w:val="007C6813"/>
    <w:rsid w:val="007F1F60"/>
    <w:rsid w:val="00800997"/>
    <w:rsid w:val="00807EB3"/>
    <w:rsid w:val="00850AC7"/>
    <w:rsid w:val="00856244"/>
    <w:rsid w:val="008676BA"/>
    <w:rsid w:val="008C6A5C"/>
    <w:rsid w:val="008C6F2E"/>
    <w:rsid w:val="00904DAE"/>
    <w:rsid w:val="009302EF"/>
    <w:rsid w:val="009523FF"/>
    <w:rsid w:val="0096703A"/>
    <w:rsid w:val="009A052D"/>
    <w:rsid w:val="009A3CFD"/>
    <w:rsid w:val="009F11B1"/>
    <w:rsid w:val="00A012FB"/>
    <w:rsid w:val="00A22FC3"/>
    <w:rsid w:val="00A7009E"/>
    <w:rsid w:val="00A92B7E"/>
    <w:rsid w:val="00AF636A"/>
    <w:rsid w:val="00B12974"/>
    <w:rsid w:val="00B55168"/>
    <w:rsid w:val="00B867A0"/>
    <w:rsid w:val="00BB0985"/>
    <w:rsid w:val="00BB7A07"/>
    <w:rsid w:val="00BE1121"/>
    <w:rsid w:val="00BF2B01"/>
    <w:rsid w:val="00BF3AD8"/>
    <w:rsid w:val="00C07352"/>
    <w:rsid w:val="00C70796"/>
    <w:rsid w:val="00C91CEC"/>
    <w:rsid w:val="00C93626"/>
    <w:rsid w:val="00CC2D8A"/>
    <w:rsid w:val="00CF5D51"/>
    <w:rsid w:val="00D008DE"/>
    <w:rsid w:val="00D275D8"/>
    <w:rsid w:val="00D30382"/>
    <w:rsid w:val="00D32BD3"/>
    <w:rsid w:val="00D57E9B"/>
    <w:rsid w:val="00DD57DF"/>
    <w:rsid w:val="00DF680D"/>
    <w:rsid w:val="00E36822"/>
    <w:rsid w:val="00E924A6"/>
    <w:rsid w:val="00F0532C"/>
    <w:rsid w:val="00F05EB1"/>
    <w:rsid w:val="00F13E91"/>
    <w:rsid w:val="00F15E63"/>
    <w:rsid w:val="00F22AC0"/>
    <w:rsid w:val="00F26A33"/>
    <w:rsid w:val="00F36464"/>
    <w:rsid w:val="00F41480"/>
    <w:rsid w:val="00F4721F"/>
    <w:rsid w:val="00F56166"/>
    <w:rsid w:val="00F70EAE"/>
    <w:rsid w:val="00FB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AF58266"/>
  <w15:docId w15:val="{70C518DA-13B6-4FBD-BBAF-27AE1FEA5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N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57DF"/>
    <w:pPr>
      <w:spacing w:line="360" w:lineRule="auto"/>
    </w:pPr>
    <w:rPr>
      <w:rFonts w:ascii="Verdana" w:eastAsia="Libre Franklin" w:hAnsi="Verdana" w:cs="Libre Franklin"/>
      <w:color w:val="011E41" w:themeColor="text1"/>
      <w:sz w:val="18"/>
      <w:szCs w:val="18"/>
    </w:rPr>
  </w:style>
  <w:style w:type="paragraph" w:styleId="Heading1">
    <w:name w:val="heading 1"/>
    <w:basedOn w:val="Heading2"/>
    <w:next w:val="Normal"/>
    <w:uiPriority w:val="9"/>
    <w:qFormat/>
    <w:rsid w:val="00E36822"/>
    <w:pPr>
      <w:spacing w:before="0"/>
      <w:outlineLvl w:val="0"/>
    </w:pPr>
    <w:rPr>
      <w:color w:val="011E41" w:themeColor="text1"/>
      <w:sz w:val="60"/>
    </w:rPr>
  </w:style>
  <w:style w:type="paragraph" w:styleId="Heading2">
    <w:name w:val="heading 2"/>
    <w:basedOn w:val="Normal"/>
    <w:next w:val="Normal"/>
    <w:uiPriority w:val="9"/>
    <w:unhideWhenUsed/>
    <w:qFormat/>
    <w:rsid w:val="00A012FB"/>
    <w:pPr>
      <w:spacing w:before="80"/>
      <w:outlineLvl w:val="1"/>
    </w:pPr>
    <w:rPr>
      <w:b/>
      <w:color w:val="344B67"/>
      <w:sz w:val="28"/>
      <w:szCs w:val="28"/>
    </w:rPr>
  </w:style>
  <w:style w:type="paragraph" w:styleId="Heading3">
    <w:name w:val="heading 3"/>
    <w:basedOn w:val="Normal"/>
    <w:next w:val="Normal"/>
    <w:uiPriority w:val="9"/>
    <w:unhideWhenUsed/>
    <w:qFormat/>
    <w:rsid w:val="00E36822"/>
    <w:pPr>
      <w:spacing w:after="120"/>
      <w:outlineLvl w:val="2"/>
    </w:pPr>
    <w:rPr>
      <w:b/>
      <w:color w:val="67788D" w:themeColor="accent1"/>
      <w:sz w:val="22"/>
    </w:rPr>
  </w:style>
  <w:style w:type="paragraph" w:styleId="Heading4">
    <w:name w:val="heading 4"/>
    <w:basedOn w:val="Normal"/>
    <w:next w:val="Normal"/>
    <w:uiPriority w:val="9"/>
    <w:semiHidden/>
    <w:unhideWhenUsed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Heading1"/>
    <w:next w:val="Normal"/>
    <w:uiPriority w:val="10"/>
    <w:qFormat/>
    <w:rsid w:val="00D32BD3"/>
    <w:pPr>
      <w:spacing w:line="276" w:lineRule="auto"/>
    </w:pPr>
    <w:rPr>
      <w:szCs w:val="60"/>
    </w:rPr>
  </w:style>
  <w:style w:type="paragraph" w:styleId="Subtitle">
    <w:name w:val="Subtitle"/>
    <w:basedOn w:val="Normal"/>
    <w:next w:val="Normal"/>
    <w:uiPriority w:val="11"/>
    <w:qFormat/>
    <w:rsid w:val="005C6175"/>
  </w:style>
  <w:style w:type="table" w:styleId="TableGrid">
    <w:name w:val="Table Grid"/>
    <w:basedOn w:val="TableNormal"/>
    <w:uiPriority w:val="39"/>
    <w:rsid w:val="00444A07"/>
    <w:pPr>
      <w:spacing w:line="240" w:lineRule="auto"/>
    </w:pPr>
    <w:rPr>
      <w:rFonts w:ascii="Verdana" w:hAnsi="Verdana"/>
      <w:color w:val="011E41" w:themeColor="text2"/>
      <w:sz w:val="16"/>
    </w:rPr>
    <w:tblPr>
      <w:tblBorders>
        <w:top w:val="single" w:sz="6" w:space="0" w:color="67788D" w:themeColor="accent1"/>
        <w:left w:val="single" w:sz="6" w:space="0" w:color="67788D" w:themeColor="accent1"/>
        <w:bottom w:val="single" w:sz="6" w:space="0" w:color="67788D" w:themeColor="accent1"/>
        <w:right w:val="single" w:sz="6" w:space="0" w:color="67788D" w:themeColor="accent1"/>
        <w:insideH w:val="single" w:sz="6" w:space="0" w:color="67788D" w:themeColor="accent1"/>
        <w:insideV w:val="single" w:sz="6" w:space="0" w:color="67788D" w:themeColor="accent1"/>
      </w:tblBorders>
    </w:tblPr>
    <w:tcPr>
      <w:vAlign w:val="center"/>
    </w:tcPr>
  </w:style>
  <w:style w:type="character" w:customStyle="1" w:styleId="EnableNewZealand">
    <w:name w:val="Enable New Zealand"/>
    <w:basedOn w:val="DefaultParagraphFont"/>
    <w:uiPriority w:val="1"/>
    <w:rsid w:val="00736CCE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736CCE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6CCE"/>
  </w:style>
  <w:style w:type="paragraph" w:styleId="Footer">
    <w:name w:val="footer"/>
    <w:basedOn w:val="Normal"/>
    <w:link w:val="FooterChar"/>
    <w:uiPriority w:val="99"/>
    <w:unhideWhenUsed/>
    <w:rsid w:val="00736CCE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6CCE"/>
  </w:style>
  <w:style w:type="character" w:styleId="PlaceholderText">
    <w:name w:val="Placeholder Text"/>
    <w:basedOn w:val="DefaultParagraphFont"/>
    <w:uiPriority w:val="99"/>
    <w:semiHidden/>
    <w:rsid w:val="00736CCE"/>
    <w:rPr>
      <w:color w:val="808080"/>
    </w:rPr>
  </w:style>
  <w:style w:type="character" w:customStyle="1" w:styleId="Style1">
    <w:name w:val="Style1"/>
    <w:basedOn w:val="DefaultParagraphFont"/>
    <w:uiPriority w:val="1"/>
    <w:rsid w:val="00736CCE"/>
    <w:rPr>
      <w:rFonts w:ascii="Verdana" w:hAnsi="Verdana"/>
      <w:sz w:val="18"/>
    </w:rPr>
  </w:style>
  <w:style w:type="character" w:styleId="SubtleEmphasis">
    <w:name w:val="Subtle Emphasis"/>
    <w:basedOn w:val="DefaultParagraphFont"/>
    <w:uiPriority w:val="19"/>
    <w:qFormat/>
    <w:rsid w:val="00A92B7E"/>
    <w:rPr>
      <w:i/>
    </w:rPr>
  </w:style>
  <w:style w:type="paragraph" w:styleId="NoSpacing">
    <w:name w:val="No Spacing"/>
    <w:uiPriority w:val="1"/>
    <w:qFormat/>
    <w:rsid w:val="005C6175"/>
    <w:pPr>
      <w:spacing w:line="240" w:lineRule="auto"/>
    </w:pPr>
    <w:rPr>
      <w:rFonts w:ascii="Verdana" w:eastAsia="Libre Franklin" w:hAnsi="Verdana" w:cs="Libre Franklin"/>
      <w:color w:val="011E41"/>
      <w:sz w:val="18"/>
      <w:szCs w:val="18"/>
    </w:rPr>
  </w:style>
  <w:style w:type="character" w:styleId="IntenseEmphasis">
    <w:name w:val="Intense Emphasis"/>
    <w:basedOn w:val="DefaultParagraphFont"/>
    <w:uiPriority w:val="21"/>
    <w:qFormat/>
    <w:rsid w:val="005C6175"/>
    <w:rPr>
      <w:i/>
      <w:iCs/>
      <w:color w:val="A90056"/>
    </w:rPr>
  </w:style>
  <w:style w:type="character" w:styleId="Strong">
    <w:name w:val="Strong"/>
    <w:basedOn w:val="DefaultParagraphFont"/>
    <w:uiPriority w:val="22"/>
    <w:qFormat/>
    <w:rsid w:val="005C6175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D32BD3"/>
    <w:pPr>
      <w:spacing w:before="200" w:after="160"/>
      <w:ind w:left="864" w:right="864"/>
      <w:jc w:val="center"/>
    </w:pPr>
    <w:rPr>
      <w:i/>
      <w:iCs/>
      <w:color w:val="67788D"/>
    </w:rPr>
  </w:style>
  <w:style w:type="character" w:customStyle="1" w:styleId="QuoteChar">
    <w:name w:val="Quote Char"/>
    <w:basedOn w:val="DefaultParagraphFont"/>
    <w:link w:val="Quote"/>
    <w:uiPriority w:val="29"/>
    <w:rsid w:val="00D32BD3"/>
    <w:rPr>
      <w:rFonts w:ascii="Verdana" w:eastAsia="Libre Franklin" w:hAnsi="Verdana" w:cs="Libre Franklin"/>
      <w:i/>
      <w:iCs/>
      <w:color w:val="67788D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6175"/>
    <w:pPr>
      <w:pBdr>
        <w:top w:val="single" w:sz="4" w:space="10" w:color="67788D" w:themeColor="accent1"/>
        <w:bottom w:val="single" w:sz="4" w:space="10" w:color="67788D" w:themeColor="accent1"/>
      </w:pBdr>
      <w:spacing w:before="360" w:after="360"/>
      <w:ind w:left="864" w:right="864"/>
      <w:jc w:val="center"/>
    </w:pPr>
    <w:rPr>
      <w:i/>
      <w:iCs/>
      <w:color w:val="67788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6175"/>
    <w:rPr>
      <w:rFonts w:ascii="Verdana" w:eastAsia="Libre Franklin" w:hAnsi="Verdana" w:cs="Libre Franklin"/>
      <w:i/>
      <w:iCs/>
      <w:color w:val="67788D"/>
      <w:sz w:val="18"/>
      <w:szCs w:val="18"/>
    </w:rPr>
  </w:style>
  <w:style w:type="character" w:styleId="SubtleReference">
    <w:name w:val="Subtle Reference"/>
    <w:uiPriority w:val="31"/>
    <w:qFormat/>
    <w:rsid w:val="00D32BD3"/>
  </w:style>
  <w:style w:type="paragraph" w:styleId="ListParagraph">
    <w:name w:val="List Paragraph"/>
    <w:basedOn w:val="Normal"/>
    <w:uiPriority w:val="34"/>
    <w:qFormat/>
    <w:rsid w:val="00D32BD3"/>
    <w:pPr>
      <w:ind w:left="720"/>
      <w:contextualSpacing/>
    </w:pPr>
  </w:style>
  <w:style w:type="table" w:styleId="PlainTable2">
    <w:name w:val="Plain Table 2"/>
    <w:basedOn w:val="TableNormal"/>
    <w:uiPriority w:val="42"/>
    <w:rsid w:val="00444A07"/>
    <w:pPr>
      <w:spacing w:line="240" w:lineRule="auto"/>
    </w:pPr>
    <w:tblPr>
      <w:tblStyleRowBandSize w:val="1"/>
      <w:tblStyleColBandSize w:val="1"/>
      <w:tblBorders>
        <w:top w:val="single" w:sz="4" w:space="0" w:color="2384FB" w:themeColor="text1" w:themeTint="80"/>
        <w:bottom w:val="single" w:sz="4" w:space="0" w:color="2384FB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2384FB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2384FB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2384FB" w:themeColor="text1" w:themeTint="80"/>
          <w:right w:val="single" w:sz="4" w:space="0" w:color="2384FB" w:themeColor="text1" w:themeTint="80"/>
        </w:tcBorders>
      </w:tcPr>
    </w:tblStylePr>
    <w:tblStylePr w:type="band2Vert">
      <w:tblPr/>
      <w:tcPr>
        <w:tcBorders>
          <w:left w:val="single" w:sz="4" w:space="0" w:color="2384FB" w:themeColor="text1" w:themeTint="80"/>
          <w:right w:val="single" w:sz="4" w:space="0" w:color="2384FB" w:themeColor="text1" w:themeTint="80"/>
        </w:tcBorders>
      </w:tcPr>
    </w:tblStylePr>
    <w:tblStylePr w:type="band1Horz">
      <w:tblPr/>
      <w:tcPr>
        <w:tcBorders>
          <w:top w:val="single" w:sz="4" w:space="0" w:color="2384FB" w:themeColor="text1" w:themeTint="80"/>
          <w:bottom w:val="single" w:sz="4" w:space="0" w:color="2384FB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444A07"/>
    <w:pPr>
      <w:spacing w:line="240" w:lineRule="auto"/>
    </w:pPr>
    <w:rPr>
      <w:rFonts w:ascii="Verdana" w:hAnsi="Verdana"/>
      <w:color w:val="011E41" w:themeColor="text1"/>
      <w:sz w:val="16"/>
    </w:rPr>
    <w:tblPr>
      <w:tblBorders>
        <w:top w:val="single" w:sz="6" w:space="0" w:color="C1C8D2" w:themeColor="accent1" w:themeTint="66"/>
        <w:left w:val="single" w:sz="6" w:space="0" w:color="C1C8D2" w:themeColor="accent1" w:themeTint="66"/>
        <w:bottom w:val="single" w:sz="6" w:space="0" w:color="C1C8D2" w:themeColor="accent1" w:themeTint="66"/>
        <w:right w:val="single" w:sz="6" w:space="0" w:color="C1C8D2" w:themeColor="accent1" w:themeTint="66"/>
        <w:insideH w:val="single" w:sz="6" w:space="0" w:color="C1C8D2" w:themeColor="accent1" w:themeTint="66"/>
        <w:insideV w:val="single" w:sz="6" w:space="0" w:color="C1C8D2" w:themeColor="accent1" w:themeTint="66"/>
      </w:tblBorders>
    </w:tblPr>
    <w:tcPr>
      <w:vAlign w:val="center"/>
    </w:tcPr>
  </w:style>
  <w:style w:type="table" w:styleId="PlainTable1">
    <w:name w:val="Plain Table 1"/>
    <w:basedOn w:val="TableNormal"/>
    <w:uiPriority w:val="41"/>
    <w:rsid w:val="00444A07"/>
    <w:pPr>
      <w:spacing w:line="240" w:lineRule="auto"/>
    </w:pPr>
    <w:rPr>
      <w:rFonts w:ascii="Verdana" w:hAnsi="Verdana"/>
      <w:color w:val="011E41"/>
      <w:sz w:val="16"/>
    </w:rPr>
    <w:tblPr>
      <w:tblStyleRowBandSize w:val="1"/>
      <w:tblStyleColBandSize w:val="1"/>
      <w:tblBorders>
        <w:top w:val="single" w:sz="4" w:space="0" w:color="E0E3E8" w:themeColor="accent1" w:themeTint="33"/>
        <w:left w:val="single" w:sz="4" w:space="0" w:color="E0E3E8" w:themeColor="accent1" w:themeTint="33"/>
        <w:bottom w:val="single" w:sz="4" w:space="0" w:color="E0E3E8" w:themeColor="accent1" w:themeTint="33"/>
        <w:right w:val="single" w:sz="4" w:space="0" w:color="E0E3E8" w:themeColor="accent1" w:themeTint="33"/>
        <w:insideH w:val="single" w:sz="4" w:space="0" w:color="E0E3E8" w:themeColor="accent1" w:themeTint="33"/>
        <w:insideV w:val="single" w:sz="4" w:space="0" w:color="E0E3E8" w:themeColor="accent1" w:themeTint="33"/>
      </w:tblBorders>
    </w:tblPr>
    <w:tcPr>
      <w:vAlign w:val="cente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444A07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2384FB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2384FB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44A07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2">
    <w:name w:val="Grid Table 2"/>
    <w:basedOn w:val="TableNormal"/>
    <w:uiPriority w:val="47"/>
    <w:rsid w:val="00444A07"/>
    <w:pPr>
      <w:spacing w:line="240" w:lineRule="auto"/>
    </w:pPr>
    <w:tblPr>
      <w:tblStyleRowBandSize w:val="1"/>
      <w:tblStyleColBandSize w:val="1"/>
      <w:tblBorders>
        <w:top w:val="single" w:sz="2" w:space="0" w:color="036EEF" w:themeColor="text1" w:themeTint="99"/>
        <w:bottom w:val="single" w:sz="2" w:space="0" w:color="036EEF" w:themeColor="text1" w:themeTint="99"/>
        <w:insideH w:val="single" w:sz="2" w:space="0" w:color="036EEF" w:themeColor="text1" w:themeTint="99"/>
        <w:insideV w:val="single" w:sz="2" w:space="0" w:color="036EEF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36EEF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36EEF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EFD" w:themeFill="text1" w:themeFillTint="33"/>
      </w:tcPr>
    </w:tblStylePr>
    <w:tblStylePr w:type="band1Horz">
      <w:tblPr/>
      <w:tcPr>
        <w:shd w:val="clear" w:color="auto" w:fill="A7CEFD" w:themeFill="text1" w:themeFillTint="33"/>
      </w:tcPr>
    </w:tblStylePr>
  </w:style>
  <w:style w:type="table" w:styleId="GridTable1Light-Accent1">
    <w:name w:val="Grid Table 1 Light Accent 1"/>
    <w:basedOn w:val="TableNormal"/>
    <w:uiPriority w:val="46"/>
    <w:rsid w:val="00444A07"/>
    <w:pPr>
      <w:spacing w:line="240" w:lineRule="auto"/>
    </w:pPr>
    <w:tblPr>
      <w:tblStyleRowBandSize w:val="1"/>
      <w:tblStyleColBandSize w:val="1"/>
      <w:tblBorders>
        <w:top w:val="single" w:sz="4" w:space="0" w:color="C1C8D2" w:themeColor="accent1" w:themeTint="66"/>
        <w:left w:val="single" w:sz="4" w:space="0" w:color="C1C8D2" w:themeColor="accent1" w:themeTint="66"/>
        <w:bottom w:val="single" w:sz="4" w:space="0" w:color="C1C8D2" w:themeColor="accent1" w:themeTint="66"/>
        <w:right w:val="single" w:sz="4" w:space="0" w:color="C1C8D2" w:themeColor="accent1" w:themeTint="66"/>
        <w:insideH w:val="single" w:sz="4" w:space="0" w:color="C1C8D2" w:themeColor="accent1" w:themeTint="66"/>
        <w:insideV w:val="single" w:sz="4" w:space="0" w:color="C1C8D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A2ADB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2ADB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44A07"/>
    <w:pPr>
      <w:spacing w:line="240" w:lineRule="auto"/>
    </w:pPr>
    <w:tblPr>
      <w:tblStyleRowBandSize w:val="1"/>
      <w:tblStyleColBandSize w:val="1"/>
      <w:tblBorders>
        <w:top w:val="single" w:sz="4" w:space="0" w:color="FBD7C9" w:themeColor="accent2" w:themeTint="66"/>
        <w:left w:val="single" w:sz="4" w:space="0" w:color="FBD7C9" w:themeColor="accent2" w:themeTint="66"/>
        <w:bottom w:val="single" w:sz="4" w:space="0" w:color="FBD7C9" w:themeColor="accent2" w:themeTint="66"/>
        <w:right w:val="single" w:sz="4" w:space="0" w:color="FBD7C9" w:themeColor="accent2" w:themeTint="66"/>
        <w:insideH w:val="single" w:sz="4" w:space="0" w:color="FBD7C9" w:themeColor="accent2" w:themeTint="66"/>
        <w:insideV w:val="single" w:sz="4" w:space="0" w:color="FBD7C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AC4A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C4A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44A07"/>
    <w:pPr>
      <w:spacing w:line="240" w:lineRule="auto"/>
    </w:pPr>
    <w:tblPr>
      <w:tblStyleRowBandSize w:val="1"/>
      <w:tblStyleColBandSize w:val="1"/>
      <w:tblBorders>
        <w:top w:val="single" w:sz="2" w:space="0" w:color="A2ADBB" w:themeColor="accent1" w:themeTint="99"/>
        <w:bottom w:val="single" w:sz="2" w:space="0" w:color="A2ADBB" w:themeColor="accent1" w:themeTint="99"/>
        <w:insideH w:val="single" w:sz="2" w:space="0" w:color="A2ADBB" w:themeColor="accent1" w:themeTint="99"/>
        <w:insideV w:val="single" w:sz="2" w:space="0" w:color="A2ADB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2ADB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2ADB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3E8" w:themeFill="accent1" w:themeFillTint="33"/>
      </w:tcPr>
    </w:tblStylePr>
    <w:tblStylePr w:type="band1Horz">
      <w:tblPr/>
      <w:tcPr>
        <w:shd w:val="clear" w:color="auto" w:fill="E0E3E8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44A07"/>
    <w:pPr>
      <w:spacing w:line="240" w:lineRule="auto"/>
    </w:pPr>
    <w:tblPr>
      <w:tblStyleRowBandSize w:val="1"/>
      <w:tblStyleColBandSize w:val="1"/>
      <w:tblBorders>
        <w:top w:val="single" w:sz="2" w:space="0" w:color="FAC4AF" w:themeColor="accent2" w:themeTint="99"/>
        <w:bottom w:val="single" w:sz="2" w:space="0" w:color="FAC4AF" w:themeColor="accent2" w:themeTint="99"/>
        <w:insideH w:val="single" w:sz="2" w:space="0" w:color="FAC4AF" w:themeColor="accent2" w:themeTint="99"/>
        <w:insideV w:val="single" w:sz="2" w:space="0" w:color="FAC4A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C4A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C4A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BE4" w:themeFill="accent2" w:themeFillTint="33"/>
      </w:tcPr>
    </w:tblStylePr>
    <w:tblStylePr w:type="band1Horz">
      <w:tblPr/>
      <w:tcPr>
        <w:shd w:val="clear" w:color="auto" w:fill="FDEBE4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44A07"/>
    <w:pPr>
      <w:spacing w:line="240" w:lineRule="auto"/>
    </w:pPr>
    <w:tblPr>
      <w:tblStyleRowBandSize w:val="1"/>
      <w:tblStyleColBandSize w:val="1"/>
      <w:tblBorders>
        <w:top w:val="single" w:sz="2" w:space="0" w:color="DFA3C2" w:themeColor="accent3" w:themeTint="99"/>
        <w:bottom w:val="single" w:sz="2" w:space="0" w:color="DFA3C2" w:themeColor="accent3" w:themeTint="99"/>
        <w:insideH w:val="single" w:sz="2" w:space="0" w:color="DFA3C2" w:themeColor="accent3" w:themeTint="99"/>
        <w:insideV w:val="single" w:sz="2" w:space="0" w:color="DFA3C2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FA3C2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FA3C2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E0EA" w:themeFill="accent3" w:themeFillTint="33"/>
      </w:tcPr>
    </w:tblStylePr>
    <w:tblStylePr w:type="band1Horz">
      <w:tblPr/>
      <w:tcPr>
        <w:shd w:val="clear" w:color="auto" w:fill="F4E0EA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44A07"/>
    <w:pPr>
      <w:spacing w:line="240" w:lineRule="auto"/>
    </w:pPr>
    <w:tblPr>
      <w:tblStyleRowBandSize w:val="1"/>
      <w:tblStyleColBandSize w:val="1"/>
      <w:tblBorders>
        <w:top w:val="single" w:sz="2" w:space="0" w:color="36FFFA" w:themeColor="accent4" w:themeTint="99"/>
        <w:bottom w:val="single" w:sz="2" w:space="0" w:color="36FFFA" w:themeColor="accent4" w:themeTint="99"/>
        <w:insideH w:val="single" w:sz="2" w:space="0" w:color="36FFFA" w:themeColor="accent4" w:themeTint="99"/>
        <w:insideV w:val="single" w:sz="2" w:space="0" w:color="36FFFA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6FFF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6FFF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FFD" w:themeFill="accent4" w:themeFillTint="33"/>
      </w:tcPr>
    </w:tblStylePr>
    <w:tblStylePr w:type="band1Horz">
      <w:tblPr/>
      <w:tcPr>
        <w:shd w:val="clear" w:color="auto" w:fill="BCFFFD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44A07"/>
    <w:pPr>
      <w:spacing w:line="240" w:lineRule="auto"/>
    </w:pPr>
    <w:tblPr>
      <w:tblStyleRowBandSize w:val="1"/>
      <w:tblStyleColBandSize w:val="1"/>
      <w:tblBorders>
        <w:top w:val="single" w:sz="2" w:space="0" w:color="F69D7A" w:themeColor="accent5" w:themeTint="99"/>
        <w:bottom w:val="single" w:sz="2" w:space="0" w:color="F69D7A" w:themeColor="accent5" w:themeTint="99"/>
        <w:insideH w:val="single" w:sz="2" w:space="0" w:color="F69D7A" w:themeColor="accent5" w:themeTint="99"/>
        <w:insideV w:val="single" w:sz="2" w:space="0" w:color="F69D7A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69D7A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69D7A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ED2" w:themeFill="accent5" w:themeFillTint="33"/>
      </w:tcPr>
    </w:tblStylePr>
    <w:tblStylePr w:type="band1Horz">
      <w:tblPr/>
      <w:tcPr>
        <w:shd w:val="clear" w:color="auto" w:fill="FCDED2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44A07"/>
    <w:pPr>
      <w:spacing w:line="240" w:lineRule="auto"/>
    </w:pPr>
    <w:tblPr>
      <w:tblStyleRowBandSize w:val="1"/>
      <w:tblStyleColBandSize w:val="1"/>
      <w:tblBorders>
        <w:top w:val="single" w:sz="2" w:space="0" w:color="FF3299" w:themeColor="accent6" w:themeTint="99"/>
        <w:bottom w:val="single" w:sz="2" w:space="0" w:color="FF3299" w:themeColor="accent6" w:themeTint="99"/>
        <w:insideH w:val="single" w:sz="2" w:space="0" w:color="FF3299" w:themeColor="accent6" w:themeTint="99"/>
        <w:insideV w:val="single" w:sz="2" w:space="0" w:color="FF3299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3299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3299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ADD" w:themeFill="accent6" w:themeFillTint="33"/>
      </w:tcPr>
    </w:tblStylePr>
    <w:tblStylePr w:type="band1Horz">
      <w:tblPr/>
      <w:tcPr>
        <w:shd w:val="clear" w:color="auto" w:fill="FFBADD" w:themeFill="accent6" w:themeFillTint="33"/>
      </w:tcPr>
    </w:tblStylePr>
  </w:style>
  <w:style w:type="table" w:styleId="GridTable3">
    <w:name w:val="Grid Table 3"/>
    <w:basedOn w:val="TableNormal"/>
    <w:uiPriority w:val="48"/>
    <w:rsid w:val="00444A07"/>
    <w:pPr>
      <w:spacing w:line="240" w:lineRule="auto"/>
    </w:pPr>
    <w:tblPr>
      <w:tblStyleRowBandSize w:val="1"/>
      <w:tblStyleColBandSize w:val="1"/>
      <w:tblBorders>
        <w:top w:val="single" w:sz="4" w:space="0" w:color="036EEF" w:themeColor="text1" w:themeTint="99"/>
        <w:left w:val="single" w:sz="4" w:space="0" w:color="036EEF" w:themeColor="text1" w:themeTint="99"/>
        <w:bottom w:val="single" w:sz="4" w:space="0" w:color="036EEF" w:themeColor="text1" w:themeTint="99"/>
        <w:right w:val="single" w:sz="4" w:space="0" w:color="036EEF" w:themeColor="text1" w:themeTint="99"/>
        <w:insideH w:val="single" w:sz="4" w:space="0" w:color="036EEF" w:themeColor="text1" w:themeTint="99"/>
        <w:insideV w:val="single" w:sz="4" w:space="0" w:color="036EE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7CEFD" w:themeFill="text1" w:themeFillTint="33"/>
      </w:tcPr>
    </w:tblStylePr>
    <w:tblStylePr w:type="band1Horz">
      <w:tblPr/>
      <w:tcPr>
        <w:shd w:val="clear" w:color="auto" w:fill="A7CEFD" w:themeFill="text1" w:themeFillTint="33"/>
      </w:tcPr>
    </w:tblStylePr>
    <w:tblStylePr w:type="neCell">
      <w:tblPr/>
      <w:tcPr>
        <w:tcBorders>
          <w:bottom w:val="single" w:sz="4" w:space="0" w:color="036EEF" w:themeColor="text1" w:themeTint="99"/>
        </w:tcBorders>
      </w:tcPr>
    </w:tblStylePr>
    <w:tblStylePr w:type="nwCell">
      <w:tblPr/>
      <w:tcPr>
        <w:tcBorders>
          <w:bottom w:val="single" w:sz="4" w:space="0" w:color="036EEF" w:themeColor="text1" w:themeTint="99"/>
        </w:tcBorders>
      </w:tcPr>
    </w:tblStylePr>
    <w:tblStylePr w:type="seCell">
      <w:tblPr/>
      <w:tcPr>
        <w:tcBorders>
          <w:top w:val="single" w:sz="4" w:space="0" w:color="036EEF" w:themeColor="text1" w:themeTint="99"/>
        </w:tcBorders>
      </w:tcPr>
    </w:tblStylePr>
    <w:tblStylePr w:type="swCell">
      <w:tblPr/>
      <w:tcPr>
        <w:tcBorders>
          <w:top w:val="single" w:sz="4" w:space="0" w:color="036EEF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44A07"/>
    <w:pPr>
      <w:spacing w:line="240" w:lineRule="auto"/>
    </w:pPr>
    <w:tblPr>
      <w:tblStyleRowBandSize w:val="1"/>
      <w:tblStyleColBandSize w:val="1"/>
      <w:tblBorders>
        <w:top w:val="single" w:sz="4" w:space="0" w:color="A2ADBB" w:themeColor="accent1" w:themeTint="99"/>
        <w:left w:val="single" w:sz="4" w:space="0" w:color="A2ADBB" w:themeColor="accent1" w:themeTint="99"/>
        <w:bottom w:val="single" w:sz="4" w:space="0" w:color="A2ADBB" w:themeColor="accent1" w:themeTint="99"/>
        <w:right w:val="single" w:sz="4" w:space="0" w:color="A2ADBB" w:themeColor="accent1" w:themeTint="99"/>
        <w:insideH w:val="single" w:sz="4" w:space="0" w:color="A2ADBB" w:themeColor="accent1" w:themeTint="99"/>
        <w:insideV w:val="single" w:sz="4" w:space="0" w:color="A2ADB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0E3E8" w:themeFill="accent1" w:themeFillTint="33"/>
      </w:tcPr>
    </w:tblStylePr>
    <w:tblStylePr w:type="band1Horz">
      <w:tblPr/>
      <w:tcPr>
        <w:shd w:val="clear" w:color="auto" w:fill="E0E3E8" w:themeFill="accent1" w:themeFillTint="33"/>
      </w:tcPr>
    </w:tblStylePr>
    <w:tblStylePr w:type="neCell">
      <w:tblPr/>
      <w:tcPr>
        <w:tcBorders>
          <w:bottom w:val="single" w:sz="4" w:space="0" w:color="A2ADBB" w:themeColor="accent1" w:themeTint="99"/>
        </w:tcBorders>
      </w:tcPr>
    </w:tblStylePr>
    <w:tblStylePr w:type="nwCell">
      <w:tblPr/>
      <w:tcPr>
        <w:tcBorders>
          <w:bottom w:val="single" w:sz="4" w:space="0" w:color="A2ADBB" w:themeColor="accent1" w:themeTint="99"/>
        </w:tcBorders>
      </w:tcPr>
    </w:tblStylePr>
    <w:tblStylePr w:type="seCell">
      <w:tblPr/>
      <w:tcPr>
        <w:tcBorders>
          <w:top w:val="single" w:sz="4" w:space="0" w:color="A2ADBB" w:themeColor="accent1" w:themeTint="99"/>
        </w:tcBorders>
      </w:tcPr>
    </w:tblStylePr>
    <w:tblStylePr w:type="swCell">
      <w:tblPr/>
      <w:tcPr>
        <w:tcBorders>
          <w:top w:val="single" w:sz="4" w:space="0" w:color="A2ADB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44A07"/>
    <w:pPr>
      <w:spacing w:line="240" w:lineRule="auto"/>
    </w:pPr>
    <w:tblPr>
      <w:tblStyleRowBandSize w:val="1"/>
      <w:tblStyleColBandSize w:val="1"/>
      <w:tblBorders>
        <w:top w:val="single" w:sz="4" w:space="0" w:color="FAC4AF" w:themeColor="accent2" w:themeTint="99"/>
        <w:left w:val="single" w:sz="4" w:space="0" w:color="FAC4AF" w:themeColor="accent2" w:themeTint="99"/>
        <w:bottom w:val="single" w:sz="4" w:space="0" w:color="FAC4AF" w:themeColor="accent2" w:themeTint="99"/>
        <w:right w:val="single" w:sz="4" w:space="0" w:color="FAC4AF" w:themeColor="accent2" w:themeTint="99"/>
        <w:insideH w:val="single" w:sz="4" w:space="0" w:color="FAC4AF" w:themeColor="accent2" w:themeTint="99"/>
        <w:insideV w:val="single" w:sz="4" w:space="0" w:color="FAC4A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BE4" w:themeFill="accent2" w:themeFillTint="33"/>
      </w:tcPr>
    </w:tblStylePr>
    <w:tblStylePr w:type="band1Horz">
      <w:tblPr/>
      <w:tcPr>
        <w:shd w:val="clear" w:color="auto" w:fill="FDEBE4" w:themeFill="accent2" w:themeFillTint="33"/>
      </w:tcPr>
    </w:tblStylePr>
    <w:tblStylePr w:type="neCell">
      <w:tblPr/>
      <w:tcPr>
        <w:tcBorders>
          <w:bottom w:val="single" w:sz="4" w:space="0" w:color="FAC4AF" w:themeColor="accent2" w:themeTint="99"/>
        </w:tcBorders>
      </w:tcPr>
    </w:tblStylePr>
    <w:tblStylePr w:type="nwCell">
      <w:tblPr/>
      <w:tcPr>
        <w:tcBorders>
          <w:bottom w:val="single" w:sz="4" w:space="0" w:color="FAC4AF" w:themeColor="accent2" w:themeTint="99"/>
        </w:tcBorders>
      </w:tcPr>
    </w:tblStylePr>
    <w:tblStylePr w:type="seCell">
      <w:tblPr/>
      <w:tcPr>
        <w:tcBorders>
          <w:top w:val="single" w:sz="4" w:space="0" w:color="FAC4AF" w:themeColor="accent2" w:themeTint="99"/>
        </w:tcBorders>
      </w:tcPr>
    </w:tblStylePr>
    <w:tblStylePr w:type="swCell">
      <w:tblPr/>
      <w:tcPr>
        <w:tcBorders>
          <w:top w:val="single" w:sz="4" w:space="0" w:color="FAC4A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44A07"/>
    <w:pPr>
      <w:spacing w:line="240" w:lineRule="auto"/>
    </w:pPr>
    <w:tblPr>
      <w:tblStyleRowBandSize w:val="1"/>
      <w:tblStyleColBandSize w:val="1"/>
      <w:tblBorders>
        <w:top w:val="single" w:sz="4" w:space="0" w:color="DFA3C2" w:themeColor="accent3" w:themeTint="99"/>
        <w:left w:val="single" w:sz="4" w:space="0" w:color="DFA3C2" w:themeColor="accent3" w:themeTint="99"/>
        <w:bottom w:val="single" w:sz="4" w:space="0" w:color="DFA3C2" w:themeColor="accent3" w:themeTint="99"/>
        <w:right w:val="single" w:sz="4" w:space="0" w:color="DFA3C2" w:themeColor="accent3" w:themeTint="99"/>
        <w:insideH w:val="single" w:sz="4" w:space="0" w:color="DFA3C2" w:themeColor="accent3" w:themeTint="99"/>
        <w:insideV w:val="single" w:sz="4" w:space="0" w:color="DFA3C2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E0EA" w:themeFill="accent3" w:themeFillTint="33"/>
      </w:tcPr>
    </w:tblStylePr>
    <w:tblStylePr w:type="band1Horz">
      <w:tblPr/>
      <w:tcPr>
        <w:shd w:val="clear" w:color="auto" w:fill="F4E0EA" w:themeFill="accent3" w:themeFillTint="33"/>
      </w:tcPr>
    </w:tblStylePr>
    <w:tblStylePr w:type="neCell">
      <w:tblPr/>
      <w:tcPr>
        <w:tcBorders>
          <w:bottom w:val="single" w:sz="4" w:space="0" w:color="DFA3C2" w:themeColor="accent3" w:themeTint="99"/>
        </w:tcBorders>
      </w:tcPr>
    </w:tblStylePr>
    <w:tblStylePr w:type="nwCell">
      <w:tblPr/>
      <w:tcPr>
        <w:tcBorders>
          <w:bottom w:val="single" w:sz="4" w:space="0" w:color="DFA3C2" w:themeColor="accent3" w:themeTint="99"/>
        </w:tcBorders>
      </w:tcPr>
    </w:tblStylePr>
    <w:tblStylePr w:type="seCell">
      <w:tblPr/>
      <w:tcPr>
        <w:tcBorders>
          <w:top w:val="single" w:sz="4" w:space="0" w:color="DFA3C2" w:themeColor="accent3" w:themeTint="99"/>
        </w:tcBorders>
      </w:tcPr>
    </w:tblStylePr>
    <w:tblStylePr w:type="swCell">
      <w:tblPr/>
      <w:tcPr>
        <w:tcBorders>
          <w:top w:val="single" w:sz="4" w:space="0" w:color="DFA3C2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44A07"/>
    <w:pPr>
      <w:spacing w:line="240" w:lineRule="auto"/>
    </w:pPr>
    <w:tblPr>
      <w:tblStyleRowBandSize w:val="1"/>
      <w:tblStyleColBandSize w:val="1"/>
      <w:tblBorders>
        <w:top w:val="single" w:sz="4" w:space="0" w:color="36FFFA" w:themeColor="accent4" w:themeTint="99"/>
        <w:left w:val="single" w:sz="4" w:space="0" w:color="36FFFA" w:themeColor="accent4" w:themeTint="99"/>
        <w:bottom w:val="single" w:sz="4" w:space="0" w:color="36FFFA" w:themeColor="accent4" w:themeTint="99"/>
        <w:right w:val="single" w:sz="4" w:space="0" w:color="36FFFA" w:themeColor="accent4" w:themeTint="99"/>
        <w:insideH w:val="single" w:sz="4" w:space="0" w:color="36FFFA" w:themeColor="accent4" w:themeTint="99"/>
        <w:insideV w:val="single" w:sz="4" w:space="0" w:color="36FFFA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FFD" w:themeFill="accent4" w:themeFillTint="33"/>
      </w:tcPr>
    </w:tblStylePr>
    <w:tblStylePr w:type="band1Horz">
      <w:tblPr/>
      <w:tcPr>
        <w:shd w:val="clear" w:color="auto" w:fill="BCFFFD" w:themeFill="accent4" w:themeFillTint="33"/>
      </w:tcPr>
    </w:tblStylePr>
    <w:tblStylePr w:type="neCell">
      <w:tblPr/>
      <w:tcPr>
        <w:tcBorders>
          <w:bottom w:val="single" w:sz="4" w:space="0" w:color="36FFFA" w:themeColor="accent4" w:themeTint="99"/>
        </w:tcBorders>
      </w:tcPr>
    </w:tblStylePr>
    <w:tblStylePr w:type="nwCell">
      <w:tblPr/>
      <w:tcPr>
        <w:tcBorders>
          <w:bottom w:val="single" w:sz="4" w:space="0" w:color="36FFFA" w:themeColor="accent4" w:themeTint="99"/>
        </w:tcBorders>
      </w:tcPr>
    </w:tblStylePr>
    <w:tblStylePr w:type="seCell">
      <w:tblPr/>
      <w:tcPr>
        <w:tcBorders>
          <w:top w:val="single" w:sz="4" w:space="0" w:color="36FFFA" w:themeColor="accent4" w:themeTint="99"/>
        </w:tcBorders>
      </w:tcPr>
    </w:tblStylePr>
    <w:tblStylePr w:type="swCell">
      <w:tblPr/>
      <w:tcPr>
        <w:tcBorders>
          <w:top w:val="single" w:sz="4" w:space="0" w:color="36FFFA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44A07"/>
    <w:pPr>
      <w:spacing w:line="240" w:lineRule="auto"/>
    </w:pPr>
    <w:tblPr>
      <w:tblStyleRowBandSize w:val="1"/>
      <w:tblStyleColBandSize w:val="1"/>
      <w:tblBorders>
        <w:top w:val="single" w:sz="4" w:space="0" w:color="F69D7A" w:themeColor="accent5" w:themeTint="99"/>
        <w:left w:val="single" w:sz="4" w:space="0" w:color="F69D7A" w:themeColor="accent5" w:themeTint="99"/>
        <w:bottom w:val="single" w:sz="4" w:space="0" w:color="F69D7A" w:themeColor="accent5" w:themeTint="99"/>
        <w:right w:val="single" w:sz="4" w:space="0" w:color="F69D7A" w:themeColor="accent5" w:themeTint="99"/>
        <w:insideH w:val="single" w:sz="4" w:space="0" w:color="F69D7A" w:themeColor="accent5" w:themeTint="99"/>
        <w:insideV w:val="single" w:sz="4" w:space="0" w:color="F69D7A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ED2" w:themeFill="accent5" w:themeFillTint="33"/>
      </w:tcPr>
    </w:tblStylePr>
    <w:tblStylePr w:type="band1Horz">
      <w:tblPr/>
      <w:tcPr>
        <w:shd w:val="clear" w:color="auto" w:fill="FCDED2" w:themeFill="accent5" w:themeFillTint="33"/>
      </w:tcPr>
    </w:tblStylePr>
    <w:tblStylePr w:type="neCell">
      <w:tblPr/>
      <w:tcPr>
        <w:tcBorders>
          <w:bottom w:val="single" w:sz="4" w:space="0" w:color="F69D7A" w:themeColor="accent5" w:themeTint="99"/>
        </w:tcBorders>
      </w:tcPr>
    </w:tblStylePr>
    <w:tblStylePr w:type="nwCell">
      <w:tblPr/>
      <w:tcPr>
        <w:tcBorders>
          <w:bottom w:val="single" w:sz="4" w:space="0" w:color="F69D7A" w:themeColor="accent5" w:themeTint="99"/>
        </w:tcBorders>
      </w:tcPr>
    </w:tblStylePr>
    <w:tblStylePr w:type="seCell">
      <w:tblPr/>
      <w:tcPr>
        <w:tcBorders>
          <w:top w:val="single" w:sz="4" w:space="0" w:color="F69D7A" w:themeColor="accent5" w:themeTint="99"/>
        </w:tcBorders>
      </w:tcPr>
    </w:tblStylePr>
    <w:tblStylePr w:type="swCell">
      <w:tblPr/>
      <w:tcPr>
        <w:tcBorders>
          <w:top w:val="single" w:sz="4" w:space="0" w:color="F69D7A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44A07"/>
    <w:pPr>
      <w:spacing w:line="240" w:lineRule="auto"/>
    </w:pPr>
    <w:tblPr>
      <w:tblStyleRowBandSize w:val="1"/>
      <w:tblStyleColBandSize w:val="1"/>
      <w:tblBorders>
        <w:top w:val="single" w:sz="4" w:space="0" w:color="FF3299" w:themeColor="accent6" w:themeTint="99"/>
        <w:left w:val="single" w:sz="4" w:space="0" w:color="FF3299" w:themeColor="accent6" w:themeTint="99"/>
        <w:bottom w:val="single" w:sz="4" w:space="0" w:color="FF3299" w:themeColor="accent6" w:themeTint="99"/>
        <w:right w:val="single" w:sz="4" w:space="0" w:color="FF3299" w:themeColor="accent6" w:themeTint="99"/>
        <w:insideH w:val="single" w:sz="4" w:space="0" w:color="FF3299" w:themeColor="accent6" w:themeTint="99"/>
        <w:insideV w:val="single" w:sz="4" w:space="0" w:color="FF3299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BADD" w:themeFill="accent6" w:themeFillTint="33"/>
      </w:tcPr>
    </w:tblStylePr>
    <w:tblStylePr w:type="band1Horz">
      <w:tblPr/>
      <w:tcPr>
        <w:shd w:val="clear" w:color="auto" w:fill="FFBADD" w:themeFill="accent6" w:themeFillTint="33"/>
      </w:tcPr>
    </w:tblStylePr>
    <w:tblStylePr w:type="neCell">
      <w:tblPr/>
      <w:tcPr>
        <w:tcBorders>
          <w:bottom w:val="single" w:sz="4" w:space="0" w:color="FF3299" w:themeColor="accent6" w:themeTint="99"/>
        </w:tcBorders>
      </w:tcPr>
    </w:tblStylePr>
    <w:tblStylePr w:type="nwCell">
      <w:tblPr/>
      <w:tcPr>
        <w:tcBorders>
          <w:bottom w:val="single" w:sz="4" w:space="0" w:color="FF3299" w:themeColor="accent6" w:themeTint="99"/>
        </w:tcBorders>
      </w:tcPr>
    </w:tblStylePr>
    <w:tblStylePr w:type="seCell">
      <w:tblPr/>
      <w:tcPr>
        <w:tcBorders>
          <w:top w:val="single" w:sz="4" w:space="0" w:color="FF3299" w:themeColor="accent6" w:themeTint="99"/>
        </w:tcBorders>
      </w:tcPr>
    </w:tblStylePr>
    <w:tblStylePr w:type="swCell">
      <w:tblPr/>
      <w:tcPr>
        <w:tcBorders>
          <w:top w:val="single" w:sz="4" w:space="0" w:color="FF3299" w:themeColor="accent6" w:themeTint="99"/>
        </w:tcBorders>
      </w:tcPr>
    </w:tblStylePr>
  </w:style>
  <w:style w:type="table" w:styleId="ListTable3-Accent1">
    <w:name w:val="List Table 3 Accent 1"/>
    <w:basedOn w:val="TableNormal"/>
    <w:uiPriority w:val="48"/>
    <w:rsid w:val="00444A07"/>
    <w:pPr>
      <w:spacing w:line="240" w:lineRule="auto"/>
    </w:pPr>
    <w:tblPr>
      <w:tblStyleRowBandSize w:val="1"/>
      <w:tblStyleColBandSize w:val="1"/>
      <w:tblBorders>
        <w:top w:val="single" w:sz="4" w:space="0" w:color="67788D" w:themeColor="accent1"/>
        <w:left w:val="single" w:sz="4" w:space="0" w:color="67788D" w:themeColor="accent1"/>
        <w:bottom w:val="single" w:sz="4" w:space="0" w:color="67788D" w:themeColor="accent1"/>
        <w:right w:val="single" w:sz="4" w:space="0" w:color="67788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7788D" w:themeFill="accent1"/>
      </w:tcPr>
    </w:tblStylePr>
    <w:tblStylePr w:type="lastRow">
      <w:rPr>
        <w:b/>
        <w:bCs/>
      </w:rPr>
      <w:tblPr/>
      <w:tcPr>
        <w:tcBorders>
          <w:top w:val="double" w:sz="4" w:space="0" w:color="67788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7788D" w:themeColor="accent1"/>
          <w:right w:val="single" w:sz="4" w:space="0" w:color="67788D" w:themeColor="accent1"/>
        </w:tcBorders>
      </w:tcPr>
    </w:tblStylePr>
    <w:tblStylePr w:type="band1Horz">
      <w:tblPr/>
      <w:tcPr>
        <w:tcBorders>
          <w:top w:val="single" w:sz="4" w:space="0" w:color="67788D" w:themeColor="accent1"/>
          <w:bottom w:val="single" w:sz="4" w:space="0" w:color="67788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7788D" w:themeColor="accent1"/>
          <w:left w:val="nil"/>
        </w:tcBorders>
      </w:tcPr>
    </w:tblStylePr>
    <w:tblStylePr w:type="swCell">
      <w:tblPr/>
      <w:tcPr>
        <w:tcBorders>
          <w:top w:val="double" w:sz="4" w:space="0" w:color="67788D" w:themeColor="accent1"/>
          <w:right w:val="nil"/>
        </w:tcBorders>
      </w:tcPr>
    </w:tblStylePr>
  </w:style>
  <w:style w:type="table" w:styleId="ListTable3">
    <w:name w:val="List Table 3"/>
    <w:basedOn w:val="TableNormal"/>
    <w:uiPriority w:val="48"/>
    <w:rsid w:val="00177C80"/>
    <w:pPr>
      <w:spacing w:before="120" w:line="240" w:lineRule="auto"/>
    </w:pPr>
    <w:rPr>
      <w:rFonts w:ascii="Verdana" w:hAnsi="Verdana"/>
      <w:color w:val="011E41"/>
      <w:sz w:val="16"/>
    </w:rPr>
    <w:tblPr>
      <w:tblStyleRowBandSize w:val="1"/>
      <w:tblStyleColBandSize w:val="1"/>
      <w:tblBorders>
        <w:top w:val="single" w:sz="4" w:space="0" w:color="011E41" w:themeColor="text1"/>
        <w:left w:val="single" w:sz="4" w:space="0" w:color="011E41" w:themeColor="text1"/>
        <w:bottom w:val="single" w:sz="4" w:space="0" w:color="011E41" w:themeColor="text1"/>
        <w:right w:val="single" w:sz="4" w:space="0" w:color="011E41" w:themeColor="text1"/>
      </w:tblBorders>
    </w:tblPr>
    <w:tcPr>
      <w:shd w:val="clear" w:color="auto" w:fill="auto"/>
      <w:vAlign w:val="center"/>
    </w:tcPr>
    <w:tblStylePr w:type="firstRow">
      <w:pPr>
        <w:jc w:val="left"/>
      </w:pPr>
      <w:rPr>
        <w:rFonts w:ascii="Verdana" w:hAnsi="Verdana"/>
        <w:b/>
        <w:bCs/>
        <w:color w:val="FFFFFF"/>
        <w:sz w:val="16"/>
      </w:rPr>
      <w:tblPr/>
      <w:tcPr>
        <w:shd w:val="clear" w:color="auto" w:fill="011E41" w:themeFill="text1"/>
      </w:tcPr>
    </w:tblStylePr>
    <w:tblStylePr w:type="lastRow">
      <w:rPr>
        <w:rFonts w:ascii="Verdana" w:hAnsi="Verdana"/>
        <w:b/>
        <w:bCs/>
        <w:color w:val="FFFFFF" w:themeColor="background2"/>
        <w:sz w:val="16"/>
      </w:rPr>
      <w:tblPr/>
      <w:tcPr>
        <w:tcBorders>
          <w:top w:val="double" w:sz="4" w:space="0" w:color="011E41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11E41" w:themeColor="text1"/>
          <w:right w:val="single" w:sz="4" w:space="0" w:color="011E41" w:themeColor="text1"/>
        </w:tcBorders>
      </w:tcPr>
    </w:tblStylePr>
    <w:tblStylePr w:type="band1Horz">
      <w:tblPr/>
      <w:tcPr>
        <w:tcBorders>
          <w:top w:val="single" w:sz="4" w:space="0" w:color="011E41" w:themeColor="text1"/>
          <w:bottom w:val="single" w:sz="4" w:space="0" w:color="011E41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11E41" w:themeColor="text1"/>
          <w:left w:val="nil"/>
        </w:tcBorders>
      </w:tcPr>
    </w:tblStylePr>
    <w:tblStylePr w:type="swCell">
      <w:tblPr/>
      <w:tcPr>
        <w:tcBorders>
          <w:top w:val="double" w:sz="4" w:space="0" w:color="011E41" w:themeColor="text1"/>
          <w:right w:val="nil"/>
        </w:tcBorders>
      </w:tcPr>
    </w:tblStylePr>
  </w:style>
  <w:style w:type="table" w:styleId="ListTable2-Accent6">
    <w:name w:val="List Table 2 Accent 6"/>
    <w:basedOn w:val="TableNormal"/>
    <w:uiPriority w:val="47"/>
    <w:rsid w:val="00444A07"/>
    <w:pPr>
      <w:spacing w:line="240" w:lineRule="auto"/>
    </w:pPr>
    <w:tblPr>
      <w:tblStyleRowBandSize w:val="1"/>
      <w:tblStyleColBandSize w:val="1"/>
      <w:tblBorders>
        <w:top w:val="single" w:sz="4" w:space="0" w:color="FF3299" w:themeColor="accent6" w:themeTint="99"/>
        <w:bottom w:val="single" w:sz="4" w:space="0" w:color="FF3299" w:themeColor="accent6" w:themeTint="99"/>
        <w:insideH w:val="single" w:sz="4" w:space="0" w:color="FF3299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ADD" w:themeFill="accent6" w:themeFillTint="33"/>
      </w:tcPr>
    </w:tblStylePr>
    <w:tblStylePr w:type="band1Horz">
      <w:tblPr/>
      <w:tcPr>
        <w:shd w:val="clear" w:color="auto" w:fill="FFBADD" w:themeFill="accent6" w:themeFillTint="33"/>
      </w:tcPr>
    </w:tblStylePr>
  </w:style>
  <w:style w:type="character" w:styleId="Emphasis">
    <w:name w:val="Emphasis"/>
    <w:basedOn w:val="DefaultParagraphFont"/>
    <w:uiPriority w:val="20"/>
    <w:qFormat/>
    <w:rsid w:val="009A052D"/>
    <w:rPr>
      <w:i/>
      <w:iCs/>
    </w:rPr>
  </w:style>
  <w:style w:type="table" w:styleId="ListTable4-Accent1">
    <w:name w:val="List Table 4 Accent 1"/>
    <w:basedOn w:val="TableNormal"/>
    <w:uiPriority w:val="49"/>
    <w:rsid w:val="005B544A"/>
    <w:pPr>
      <w:spacing w:line="240" w:lineRule="auto"/>
    </w:pPr>
    <w:tblPr>
      <w:tblStyleRowBandSize w:val="1"/>
      <w:tblStyleColBandSize w:val="1"/>
      <w:tblBorders>
        <w:top w:val="single" w:sz="4" w:space="0" w:color="A2ADBB" w:themeColor="accent1" w:themeTint="99"/>
        <w:left w:val="single" w:sz="4" w:space="0" w:color="A2ADBB" w:themeColor="accent1" w:themeTint="99"/>
        <w:bottom w:val="single" w:sz="4" w:space="0" w:color="A2ADBB" w:themeColor="accent1" w:themeTint="99"/>
        <w:right w:val="single" w:sz="4" w:space="0" w:color="A2ADBB" w:themeColor="accent1" w:themeTint="99"/>
        <w:insideH w:val="single" w:sz="4" w:space="0" w:color="A2ADB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7788D" w:themeColor="accent1"/>
          <w:left w:val="single" w:sz="4" w:space="0" w:color="67788D" w:themeColor="accent1"/>
          <w:bottom w:val="single" w:sz="4" w:space="0" w:color="67788D" w:themeColor="accent1"/>
          <w:right w:val="single" w:sz="4" w:space="0" w:color="67788D" w:themeColor="accent1"/>
          <w:insideH w:val="nil"/>
        </w:tcBorders>
        <w:shd w:val="clear" w:color="auto" w:fill="67788D" w:themeFill="accent1"/>
      </w:tcPr>
    </w:tblStylePr>
    <w:tblStylePr w:type="lastRow">
      <w:rPr>
        <w:b/>
        <w:bCs/>
      </w:rPr>
      <w:tblPr/>
      <w:tcPr>
        <w:tcBorders>
          <w:top w:val="double" w:sz="4" w:space="0" w:color="A2ADB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3E8" w:themeFill="accent1" w:themeFillTint="33"/>
      </w:tcPr>
    </w:tblStylePr>
    <w:tblStylePr w:type="band1Horz">
      <w:tblPr/>
      <w:tcPr>
        <w:shd w:val="clear" w:color="auto" w:fill="E0E3E8" w:themeFill="accent1" w:themeFillTint="33"/>
      </w:tcPr>
    </w:tblStylePr>
  </w:style>
  <w:style w:type="character" w:styleId="Hyperlink">
    <w:name w:val="Hyperlink"/>
    <w:basedOn w:val="DefaultParagraphFont"/>
    <w:uiPriority w:val="99"/>
    <w:unhideWhenUsed/>
    <w:rsid w:val="00E36822"/>
    <w:rPr>
      <w:color w:val="67788D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6822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8C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C6F2E"/>
    <w:rPr>
      <w:rFonts w:ascii="Verdana" w:eastAsia="Libre Franklin" w:hAnsi="Verdana" w:cs="Libre Franklin"/>
      <w:color w:val="011E41" w:themeColor="tex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B60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60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6029"/>
    <w:rPr>
      <w:rFonts w:ascii="Verdana" w:eastAsia="Libre Franklin" w:hAnsi="Verdana" w:cs="Libre Franklin"/>
      <w:color w:val="011E41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60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6029"/>
    <w:rPr>
      <w:rFonts w:ascii="Verdana" w:eastAsia="Libre Franklin" w:hAnsi="Verdana" w:cs="Libre Franklin"/>
      <w:b/>
      <w:bCs/>
      <w:color w:val="011E41" w:themeColor="text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6029"/>
    <w:pPr>
      <w:spacing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6029"/>
    <w:rPr>
      <w:rFonts w:ascii="Segoe UI" w:eastAsia="Libre Franklin" w:hAnsi="Segoe UI" w:cs="Segoe UI"/>
      <w:color w:val="011E41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health.govt.nz/system/files/documents/pages/consultation-with-ems-advisor-v2-aug14.pdf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Enable NZ Colours">
      <a:dk1>
        <a:srgbClr val="011E41"/>
      </a:dk1>
      <a:lt1>
        <a:sysClr val="window" lastClr="FFFFFF"/>
      </a:lt1>
      <a:dk2>
        <a:srgbClr val="011E41"/>
      </a:dk2>
      <a:lt2>
        <a:srgbClr val="FFFFFF"/>
      </a:lt2>
      <a:accent1>
        <a:srgbClr val="67788D"/>
      </a:accent1>
      <a:accent2>
        <a:srgbClr val="F79E7A"/>
      </a:accent2>
      <a:accent3>
        <a:srgbClr val="CB669A"/>
      </a:accent3>
      <a:accent4>
        <a:srgbClr val="00AFAB"/>
      </a:accent4>
      <a:accent5>
        <a:srgbClr val="F15D22"/>
      </a:accent5>
      <a:accent6>
        <a:srgbClr val="A90056"/>
      </a:accent6>
      <a:hlink>
        <a:srgbClr val="67788D"/>
      </a:hlink>
      <a:folHlink>
        <a:srgbClr val="2E75B5"/>
      </a:folHlink>
    </a:clrScheme>
    <a:fontScheme name="Enable New Zealan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FE6E2C913E8048AFE7E37CF1BC7684" ma:contentTypeVersion="13" ma:contentTypeDescription="Create a new document." ma:contentTypeScope="" ma:versionID="f8123bbd11114d7e1532d889260932be">
  <xsd:schema xmlns:xsd="http://www.w3.org/2001/XMLSchema" xmlns:xs="http://www.w3.org/2001/XMLSchema" xmlns:p="http://schemas.microsoft.com/office/2006/metadata/properties" xmlns:ns3="9b869c29-f43b-48da-90d5-759791f4e05b" xmlns:ns4="34ea0672-58ef-4581-8f2a-b86b6ddb572f" targetNamespace="http://schemas.microsoft.com/office/2006/metadata/properties" ma:root="true" ma:fieldsID="946148e8160adbc3b48f12a71361bf14" ns3:_="" ns4:_="">
    <xsd:import namespace="9b869c29-f43b-48da-90d5-759791f4e05b"/>
    <xsd:import namespace="34ea0672-58ef-4581-8f2a-b86b6ddb572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869c29-f43b-48da-90d5-759791f4e0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ea0672-58ef-4581-8f2a-b86b6ddb572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FF234-5888-40F8-BDAA-A788CBFBDB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06F9D8-9CAF-4984-983F-C3FFCC6476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3C9005-8C45-42C3-8573-C9346EAF69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869c29-f43b-48da-90d5-759791f4e05b"/>
    <ds:schemaRef ds:uri="34ea0672-58ef-4581-8f2a-b86b6ddb57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F052B1-F85A-4AD6-9B8B-58CC75CDA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Erin Allen</dc:creator>
  <cp:lastModifiedBy>Gill Clarkson - NZROT</cp:lastModifiedBy>
  <cp:revision>4</cp:revision>
  <dcterms:created xsi:type="dcterms:W3CDTF">2021-01-13T23:25:00Z</dcterms:created>
  <dcterms:modified xsi:type="dcterms:W3CDTF">2021-01-14T21:54:00Z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0x01010019FE6E2C913E8048AFE7E37CF1BC7684</vt:lpwstr>
  </property>
</Properties>
</file>